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29254302"/>
        <w:docPartObj>
          <w:docPartGallery w:val="Table of Contents"/>
          <w:docPartUnique/>
        </w:docPartObj>
      </w:sdtPr>
      <w:sdtEndPr>
        <w:rPr>
          <w:rFonts w:ascii="Arial" w:eastAsiaTheme="minorEastAsia" w:hAnsi="Arial" w:cs="Arial"/>
          <w:color w:val="auto"/>
          <w:sz w:val="24"/>
          <w:szCs w:val="24"/>
          <w:lang w:eastAsia="ja-JP"/>
        </w:rPr>
      </w:sdtEndPr>
      <w:sdtContent>
        <w:p w:rsidR="00C52B00" w:rsidRDefault="00C52B00" w:rsidP="00C52B00">
          <w:pPr>
            <w:pStyle w:val="TtulodeTDC"/>
            <w:jc w:val="center"/>
            <w:rPr>
              <w:rFonts w:ascii="Arial" w:hAnsi="Arial" w:cs="Arial"/>
              <w:sz w:val="36"/>
              <w:szCs w:val="36"/>
              <w:lang w:val="es-ES"/>
            </w:rPr>
          </w:pPr>
          <w:r w:rsidRPr="00C52B00">
            <w:rPr>
              <w:rFonts w:ascii="Arial" w:hAnsi="Arial" w:cs="Arial"/>
              <w:sz w:val="36"/>
              <w:szCs w:val="36"/>
              <w:lang w:val="es-ES"/>
            </w:rPr>
            <w:t>CONTENIDO</w:t>
          </w:r>
        </w:p>
        <w:p w:rsidR="00C52B00" w:rsidRPr="00C52B00" w:rsidRDefault="00C52B00" w:rsidP="00C52B00">
          <w:pPr>
            <w:rPr>
              <w:lang w:eastAsia="es-MX"/>
            </w:rPr>
          </w:pPr>
        </w:p>
        <w:p w:rsidR="00C52B00" w:rsidRPr="00C52B00" w:rsidRDefault="00C52B00" w:rsidP="00C52B00">
          <w:pPr>
            <w:pStyle w:val="TDC1"/>
            <w:tabs>
              <w:tab w:val="left" w:pos="440"/>
              <w:tab w:val="right" w:leader="dot" w:pos="8494"/>
            </w:tabs>
            <w:jc w:val="both"/>
            <w:rPr>
              <w:rFonts w:ascii="Arial" w:hAnsi="Arial" w:cs="Arial"/>
              <w:noProof/>
              <w:color w:val="auto"/>
              <w:szCs w:val="24"/>
              <w:lang w:val="es-MX" w:eastAsia="es-MX"/>
            </w:rPr>
          </w:pPr>
          <w:r w:rsidRPr="00C52B00">
            <w:rPr>
              <w:rFonts w:ascii="Arial" w:hAnsi="Arial" w:cs="Arial"/>
              <w:color w:val="auto"/>
              <w:szCs w:val="24"/>
            </w:rPr>
            <w:fldChar w:fldCharType="begin"/>
          </w:r>
          <w:r w:rsidRPr="00C52B00">
            <w:rPr>
              <w:rFonts w:ascii="Arial" w:hAnsi="Arial" w:cs="Arial"/>
              <w:color w:val="auto"/>
              <w:szCs w:val="24"/>
            </w:rPr>
            <w:instrText xml:space="preserve"> TOC \o "1-3" \h \z \u </w:instrText>
          </w:r>
          <w:r w:rsidRPr="00C52B00">
            <w:rPr>
              <w:rFonts w:ascii="Arial" w:hAnsi="Arial" w:cs="Arial"/>
              <w:color w:val="auto"/>
              <w:szCs w:val="24"/>
            </w:rPr>
            <w:fldChar w:fldCharType="separate"/>
          </w:r>
          <w:hyperlink w:anchor="_Toc31722758" w:history="1">
            <w:r w:rsidRPr="00C52B00">
              <w:rPr>
                <w:rStyle w:val="Hipervnculo"/>
                <w:rFonts w:ascii="Arial" w:hAnsi="Arial" w:cs="Arial"/>
                <w:noProof/>
                <w:color w:val="auto"/>
                <w:szCs w:val="24"/>
              </w:rPr>
              <w:t>1.</w:t>
            </w:r>
            <w:r w:rsidRPr="00C52B00">
              <w:rPr>
                <w:rFonts w:ascii="Arial" w:hAnsi="Arial" w:cs="Arial"/>
                <w:noProof/>
                <w:color w:val="auto"/>
                <w:szCs w:val="24"/>
                <w:lang w:val="es-MX" w:eastAsia="es-MX"/>
              </w:rPr>
              <w:tab/>
            </w:r>
            <w:r w:rsidRPr="00C52B00">
              <w:rPr>
                <w:rStyle w:val="Hipervnculo"/>
                <w:rFonts w:ascii="Arial" w:hAnsi="Arial" w:cs="Arial"/>
                <w:noProof/>
                <w:color w:val="auto"/>
                <w:szCs w:val="24"/>
              </w:rPr>
              <w:t>TESIS AISLADAS EN MATERIA CIVIL</w:t>
            </w:r>
            <w:r w:rsidRPr="00C52B00">
              <w:rPr>
                <w:rFonts w:ascii="Arial" w:hAnsi="Arial" w:cs="Arial"/>
                <w:noProof/>
                <w:webHidden/>
                <w:color w:val="auto"/>
                <w:szCs w:val="24"/>
              </w:rPr>
              <w:tab/>
            </w:r>
            <w:r w:rsidRPr="00C52B00">
              <w:rPr>
                <w:rFonts w:ascii="Arial" w:hAnsi="Arial" w:cs="Arial"/>
                <w:noProof/>
                <w:webHidden/>
                <w:color w:val="auto"/>
                <w:szCs w:val="24"/>
              </w:rPr>
              <w:fldChar w:fldCharType="begin"/>
            </w:r>
            <w:r w:rsidRPr="00C52B00">
              <w:rPr>
                <w:rFonts w:ascii="Arial" w:hAnsi="Arial" w:cs="Arial"/>
                <w:noProof/>
                <w:webHidden/>
                <w:color w:val="auto"/>
                <w:szCs w:val="24"/>
              </w:rPr>
              <w:instrText xml:space="preserve"> PAGEREF _Toc31722758 \h </w:instrText>
            </w:r>
            <w:r w:rsidRPr="00C52B00">
              <w:rPr>
                <w:rFonts w:ascii="Arial" w:hAnsi="Arial" w:cs="Arial"/>
                <w:noProof/>
                <w:webHidden/>
                <w:color w:val="auto"/>
                <w:szCs w:val="24"/>
              </w:rPr>
            </w:r>
            <w:r w:rsidRPr="00C52B00">
              <w:rPr>
                <w:rFonts w:ascii="Arial" w:hAnsi="Arial" w:cs="Arial"/>
                <w:noProof/>
                <w:webHidden/>
                <w:color w:val="auto"/>
                <w:szCs w:val="24"/>
              </w:rPr>
              <w:fldChar w:fldCharType="separate"/>
            </w:r>
            <w:r w:rsidRPr="00C52B00">
              <w:rPr>
                <w:rFonts w:ascii="Arial" w:hAnsi="Arial" w:cs="Arial"/>
                <w:noProof/>
                <w:webHidden/>
                <w:color w:val="auto"/>
                <w:szCs w:val="24"/>
              </w:rPr>
              <w:t>2</w:t>
            </w:r>
            <w:r w:rsidRPr="00C52B00">
              <w:rPr>
                <w:rFonts w:ascii="Arial" w:hAnsi="Arial" w:cs="Arial"/>
                <w:noProof/>
                <w:webHidden/>
                <w:color w:val="auto"/>
                <w:szCs w:val="24"/>
              </w:rPr>
              <w:fldChar w:fldCharType="end"/>
            </w:r>
          </w:hyperlink>
        </w:p>
        <w:p w:rsidR="00C52B00" w:rsidRPr="00C52B00" w:rsidRDefault="00C52B00" w:rsidP="00C52B00">
          <w:pPr>
            <w:pStyle w:val="TDC2"/>
            <w:tabs>
              <w:tab w:val="left" w:pos="880"/>
              <w:tab w:val="right" w:leader="dot" w:pos="8494"/>
            </w:tabs>
            <w:jc w:val="both"/>
            <w:rPr>
              <w:rFonts w:ascii="Arial" w:eastAsiaTheme="minorEastAsia" w:hAnsi="Arial" w:cs="Arial"/>
              <w:noProof/>
              <w:sz w:val="24"/>
              <w:szCs w:val="24"/>
              <w:lang w:eastAsia="es-MX"/>
            </w:rPr>
          </w:pPr>
          <w:hyperlink w:anchor="_Toc31722759" w:history="1">
            <w:r w:rsidRPr="00C52B00">
              <w:rPr>
                <w:rStyle w:val="Hipervnculo"/>
                <w:rFonts w:ascii="Arial" w:hAnsi="Arial" w:cs="Arial"/>
                <w:noProof/>
                <w:color w:val="auto"/>
                <w:sz w:val="24"/>
                <w:szCs w:val="24"/>
              </w:rPr>
              <w:t>1.1</w:t>
            </w:r>
            <w:r w:rsidRPr="00C52B00">
              <w:rPr>
                <w:rFonts w:ascii="Arial" w:eastAsiaTheme="minorEastAsia" w:hAnsi="Arial" w:cs="Arial"/>
                <w:noProof/>
                <w:sz w:val="24"/>
                <w:szCs w:val="24"/>
                <w:lang w:eastAsia="es-MX"/>
              </w:rPr>
              <w:tab/>
            </w:r>
            <w:r w:rsidRPr="00C52B00">
              <w:rPr>
                <w:rStyle w:val="Hipervnculo"/>
                <w:rFonts w:ascii="Arial" w:hAnsi="Arial" w:cs="Arial"/>
                <w:noProof/>
                <w:color w:val="auto"/>
                <w:sz w:val="24"/>
                <w:szCs w:val="24"/>
              </w:rPr>
              <w:t>RECURSO DE QUEJA. PROCEDE CONTRA EL AUTO EN EL QUE EL JUEZ SE INHIBE DE CONOCER DE LA DEMANDA POR RAZÓN DE TERRITORIO Y DEJA A DISPOSICIÓN DEL ACTOR LOS DOCUMENTOS EXHIBIDOS CON ÉSTA (LEGISLACIÓN DEL ESTADO DE MÉXICO).</w:t>
            </w:r>
            <w:r w:rsidRPr="00C52B00">
              <w:rPr>
                <w:rFonts w:ascii="Arial" w:hAnsi="Arial" w:cs="Arial"/>
                <w:noProof/>
                <w:webHidden/>
                <w:sz w:val="24"/>
                <w:szCs w:val="24"/>
              </w:rPr>
              <w:tab/>
            </w:r>
            <w:r w:rsidRPr="00C52B00">
              <w:rPr>
                <w:rFonts w:ascii="Arial" w:hAnsi="Arial" w:cs="Arial"/>
                <w:noProof/>
                <w:webHidden/>
                <w:sz w:val="24"/>
                <w:szCs w:val="24"/>
              </w:rPr>
              <w:fldChar w:fldCharType="begin"/>
            </w:r>
            <w:r w:rsidRPr="00C52B00">
              <w:rPr>
                <w:rFonts w:ascii="Arial" w:hAnsi="Arial" w:cs="Arial"/>
                <w:noProof/>
                <w:webHidden/>
                <w:sz w:val="24"/>
                <w:szCs w:val="24"/>
              </w:rPr>
              <w:instrText xml:space="preserve"> PAGEREF _Toc31722759 \h </w:instrText>
            </w:r>
            <w:r w:rsidRPr="00C52B00">
              <w:rPr>
                <w:rFonts w:ascii="Arial" w:hAnsi="Arial" w:cs="Arial"/>
                <w:noProof/>
                <w:webHidden/>
                <w:sz w:val="24"/>
                <w:szCs w:val="24"/>
              </w:rPr>
            </w:r>
            <w:r w:rsidRPr="00C52B00">
              <w:rPr>
                <w:rFonts w:ascii="Arial" w:hAnsi="Arial" w:cs="Arial"/>
                <w:noProof/>
                <w:webHidden/>
                <w:sz w:val="24"/>
                <w:szCs w:val="24"/>
              </w:rPr>
              <w:fldChar w:fldCharType="separate"/>
            </w:r>
            <w:r w:rsidRPr="00C52B00">
              <w:rPr>
                <w:rFonts w:ascii="Arial" w:hAnsi="Arial" w:cs="Arial"/>
                <w:noProof/>
                <w:webHidden/>
                <w:sz w:val="24"/>
                <w:szCs w:val="24"/>
              </w:rPr>
              <w:t>2</w:t>
            </w:r>
            <w:r w:rsidRPr="00C52B00">
              <w:rPr>
                <w:rFonts w:ascii="Arial" w:hAnsi="Arial" w:cs="Arial"/>
                <w:noProof/>
                <w:webHidden/>
                <w:sz w:val="24"/>
                <w:szCs w:val="24"/>
              </w:rPr>
              <w:fldChar w:fldCharType="end"/>
            </w:r>
          </w:hyperlink>
        </w:p>
        <w:p w:rsidR="00C52B00" w:rsidRPr="00C52B00" w:rsidRDefault="00C52B00" w:rsidP="00C52B00">
          <w:pPr>
            <w:pStyle w:val="TDC2"/>
            <w:tabs>
              <w:tab w:val="left" w:pos="880"/>
              <w:tab w:val="right" w:leader="dot" w:pos="8494"/>
            </w:tabs>
            <w:jc w:val="both"/>
            <w:rPr>
              <w:rFonts w:ascii="Arial" w:eastAsiaTheme="minorEastAsia" w:hAnsi="Arial" w:cs="Arial"/>
              <w:noProof/>
              <w:sz w:val="24"/>
              <w:szCs w:val="24"/>
              <w:lang w:eastAsia="es-MX"/>
            </w:rPr>
          </w:pPr>
          <w:hyperlink w:anchor="_Toc31722760" w:history="1">
            <w:r w:rsidRPr="00C52B00">
              <w:rPr>
                <w:rStyle w:val="Hipervnculo"/>
                <w:rFonts w:ascii="Arial" w:hAnsi="Arial" w:cs="Arial"/>
                <w:noProof/>
                <w:color w:val="auto"/>
                <w:sz w:val="24"/>
                <w:szCs w:val="24"/>
              </w:rPr>
              <w:t>1.2</w:t>
            </w:r>
            <w:r w:rsidRPr="00C52B00">
              <w:rPr>
                <w:rFonts w:ascii="Arial" w:eastAsiaTheme="minorEastAsia" w:hAnsi="Arial" w:cs="Arial"/>
                <w:noProof/>
                <w:sz w:val="24"/>
                <w:szCs w:val="24"/>
                <w:lang w:eastAsia="es-MX"/>
              </w:rPr>
              <w:tab/>
            </w:r>
            <w:r w:rsidRPr="00C52B00">
              <w:rPr>
                <w:rStyle w:val="Hipervnculo"/>
                <w:rFonts w:ascii="Arial" w:hAnsi="Arial" w:cs="Arial"/>
                <w:noProof/>
                <w:color w:val="auto"/>
                <w:sz w:val="24"/>
                <w:szCs w:val="24"/>
              </w:rPr>
              <w:t>PRESCRIPCIÓN POSITIVA DE MALA FE. LOS VICIOS CONTENIDOS EN EL DOCUMENTO QUE ACREDITA LA CAUSA GENERADORA DE LA POSESIÓN SON MENOS TRASCENDENTES PARA LA PROCEDENCIA DE DICHA ACCIÓN (LEGISLACIÓN DEL ESTADO DE VERACRUZ).</w:t>
            </w:r>
            <w:r w:rsidRPr="00C52B00">
              <w:rPr>
                <w:rFonts w:ascii="Arial" w:hAnsi="Arial" w:cs="Arial"/>
                <w:noProof/>
                <w:webHidden/>
                <w:sz w:val="24"/>
                <w:szCs w:val="24"/>
              </w:rPr>
              <w:tab/>
            </w:r>
            <w:r w:rsidRPr="00C52B00">
              <w:rPr>
                <w:rFonts w:ascii="Arial" w:hAnsi="Arial" w:cs="Arial"/>
                <w:noProof/>
                <w:webHidden/>
                <w:sz w:val="24"/>
                <w:szCs w:val="24"/>
              </w:rPr>
              <w:fldChar w:fldCharType="begin"/>
            </w:r>
            <w:r w:rsidRPr="00C52B00">
              <w:rPr>
                <w:rFonts w:ascii="Arial" w:hAnsi="Arial" w:cs="Arial"/>
                <w:noProof/>
                <w:webHidden/>
                <w:sz w:val="24"/>
                <w:szCs w:val="24"/>
              </w:rPr>
              <w:instrText xml:space="preserve"> PAGEREF _Toc31722760 \h </w:instrText>
            </w:r>
            <w:r w:rsidRPr="00C52B00">
              <w:rPr>
                <w:rFonts w:ascii="Arial" w:hAnsi="Arial" w:cs="Arial"/>
                <w:noProof/>
                <w:webHidden/>
                <w:sz w:val="24"/>
                <w:szCs w:val="24"/>
              </w:rPr>
            </w:r>
            <w:r w:rsidRPr="00C52B00">
              <w:rPr>
                <w:rFonts w:ascii="Arial" w:hAnsi="Arial" w:cs="Arial"/>
                <w:noProof/>
                <w:webHidden/>
                <w:sz w:val="24"/>
                <w:szCs w:val="24"/>
              </w:rPr>
              <w:fldChar w:fldCharType="separate"/>
            </w:r>
            <w:r w:rsidRPr="00C52B00">
              <w:rPr>
                <w:rFonts w:ascii="Arial" w:hAnsi="Arial" w:cs="Arial"/>
                <w:noProof/>
                <w:webHidden/>
                <w:sz w:val="24"/>
                <w:szCs w:val="24"/>
              </w:rPr>
              <w:t>3</w:t>
            </w:r>
            <w:r w:rsidRPr="00C52B00">
              <w:rPr>
                <w:rFonts w:ascii="Arial" w:hAnsi="Arial" w:cs="Arial"/>
                <w:noProof/>
                <w:webHidden/>
                <w:sz w:val="24"/>
                <w:szCs w:val="24"/>
              </w:rPr>
              <w:fldChar w:fldCharType="end"/>
            </w:r>
          </w:hyperlink>
        </w:p>
        <w:p w:rsidR="00C52B00" w:rsidRPr="00C52B00" w:rsidRDefault="00C52B00" w:rsidP="00C52B00">
          <w:pPr>
            <w:pStyle w:val="TDC2"/>
            <w:tabs>
              <w:tab w:val="left" w:pos="880"/>
              <w:tab w:val="right" w:leader="dot" w:pos="8494"/>
            </w:tabs>
            <w:jc w:val="both"/>
            <w:rPr>
              <w:rFonts w:ascii="Arial" w:eastAsiaTheme="minorEastAsia" w:hAnsi="Arial" w:cs="Arial"/>
              <w:noProof/>
              <w:sz w:val="24"/>
              <w:szCs w:val="24"/>
              <w:lang w:eastAsia="es-MX"/>
            </w:rPr>
          </w:pPr>
          <w:hyperlink w:anchor="_Toc31722761" w:history="1">
            <w:r w:rsidRPr="00C52B00">
              <w:rPr>
                <w:rStyle w:val="Hipervnculo"/>
                <w:rFonts w:ascii="Arial" w:hAnsi="Arial" w:cs="Arial"/>
                <w:noProof/>
                <w:color w:val="auto"/>
                <w:sz w:val="24"/>
                <w:szCs w:val="24"/>
              </w:rPr>
              <w:t>1.3</w:t>
            </w:r>
            <w:r w:rsidRPr="00C52B00">
              <w:rPr>
                <w:rFonts w:ascii="Arial" w:eastAsiaTheme="minorEastAsia" w:hAnsi="Arial" w:cs="Arial"/>
                <w:noProof/>
                <w:sz w:val="24"/>
                <w:szCs w:val="24"/>
                <w:lang w:eastAsia="es-MX"/>
              </w:rPr>
              <w:tab/>
            </w:r>
            <w:r w:rsidRPr="00C52B00">
              <w:rPr>
                <w:rStyle w:val="Hipervnculo"/>
                <w:rFonts w:ascii="Arial" w:hAnsi="Arial" w:cs="Arial"/>
                <w:noProof/>
                <w:color w:val="auto"/>
                <w:sz w:val="24"/>
                <w:szCs w:val="24"/>
              </w:rPr>
              <w:t>MECANISMOS ALTERNATIVOS DE SOLUCIÓN DE CONTROVERSIAS EN MATERIA DE PROTECCIÓN AL CONSUMIDOR. SI LAS PARTES PACTAN QUE DEBEN AGOTARSE ANTES DE ACUDIR A LOS TRIBUNALES COMPETENTES, DEBE PREVALECER EL ACUERDO DE VOLUNTADES.</w:t>
            </w:r>
            <w:r w:rsidRPr="00C52B00">
              <w:rPr>
                <w:rFonts w:ascii="Arial" w:hAnsi="Arial" w:cs="Arial"/>
                <w:noProof/>
                <w:webHidden/>
                <w:sz w:val="24"/>
                <w:szCs w:val="24"/>
              </w:rPr>
              <w:tab/>
            </w:r>
            <w:r w:rsidRPr="00C52B00">
              <w:rPr>
                <w:rFonts w:ascii="Arial" w:hAnsi="Arial" w:cs="Arial"/>
                <w:noProof/>
                <w:webHidden/>
                <w:sz w:val="24"/>
                <w:szCs w:val="24"/>
              </w:rPr>
              <w:fldChar w:fldCharType="begin"/>
            </w:r>
            <w:r w:rsidRPr="00C52B00">
              <w:rPr>
                <w:rFonts w:ascii="Arial" w:hAnsi="Arial" w:cs="Arial"/>
                <w:noProof/>
                <w:webHidden/>
                <w:sz w:val="24"/>
                <w:szCs w:val="24"/>
              </w:rPr>
              <w:instrText xml:space="preserve"> PAGEREF _Toc31722761 \h </w:instrText>
            </w:r>
            <w:r w:rsidRPr="00C52B00">
              <w:rPr>
                <w:rFonts w:ascii="Arial" w:hAnsi="Arial" w:cs="Arial"/>
                <w:noProof/>
                <w:webHidden/>
                <w:sz w:val="24"/>
                <w:szCs w:val="24"/>
              </w:rPr>
            </w:r>
            <w:r w:rsidRPr="00C52B00">
              <w:rPr>
                <w:rFonts w:ascii="Arial" w:hAnsi="Arial" w:cs="Arial"/>
                <w:noProof/>
                <w:webHidden/>
                <w:sz w:val="24"/>
                <w:szCs w:val="24"/>
              </w:rPr>
              <w:fldChar w:fldCharType="separate"/>
            </w:r>
            <w:r w:rsidRPr="00C52B00">
              <w:rPr>
                <w:rFonts w:ascii="Arial" w:hAnsi="Arial" w:cs="Arial"/>
                <w:noProof/>
                <w:webHidden/>
                <w:sz w:val="24"/>
                <w:szCs w:val="24"/>
              </w:rPr>
              <w:t>5</w:t>
            </w:r>
            <w:r w:rsidRPr="00C52B00">
              <w:rPr>
                <w:rFonts w:ascii="Arial" w:hAnsi="Arial" w:cs="Arial"/>
                <w:noProof/>
                <w:webHidden/>
                <w:sz w:val="24"/>
                <w:szCs w:val="24"/>
              </w:rPr>
              <w:fldChar w:fldCharType="end"/>
            </w:r>
          </w:hyperlink>
        </w:p>
        <w:p w:rsidR="00C52B00" w:rsidRPr="00C52B00" w:rsidRDefault="00C52B00" w:rsidP="00C52B00">
          <w:pPr>
            <w:pStyle w:val="TDC2"/>
            <w:tabs>
              <w:tab w:val="left" w:pos="880"/>
              <w:tab w:val="right" w:leader="dot" w:pos="8494"/>
            </w:tabs>
            <w:jc w:val="both"/>
            <w:rPr>
              <w:rFonts w:ascii="Arial" w:eastAsiaTheme="minorEastAsia" w:hAnsi="Arial" w:cs="Arial"/>
              <w:noProof/>
              <w:sz w:val="24"/>
              <w:szCs w:val="24"/>
              <w:lang w:eastAsia="es-MX"/>
            </w:rPr>
          </w:pPr>
          <w:hyperlink w:anchor="_Toc31722762" w:history="1">
            <w:r w:rsidRPr="00C52B00">
              <w:rPr>
                <w:rStyle w:val="Hipervnculo"/>
                <w:rFonts w:ascii="Arial" w:hAnsi="Arial" w:cs="Arial"/>
                <w:noProof/>
                <w:color w:val="auto"/>
                <w:sz w:val="24"/>
                <w:szCs w:val="24"/>
              </w:rPr>
              <w:t>1.4</w:t>
            </w:r>
            <w:r w:rsidRPr="00C52B00">
              <w:rPr>
                <w:rFonts w:ascii="Arial" w:eastAsiaTheme="minorEastAsia" w:hAnsi="Arial" w:cs="Arial"/>
                <w:noProof/>
                <w:sz w:val="24"/>
                <w:szCs w:val="24"/>
                <w:lang w:eastAsia="es-MX"/>
              </w:rPr>
              <w:tab/>
            </w:r>
            <w:r w:rsidRPr="00C52B00">
              <w:rPr>
                <w:rStyle w:val="Hipervnculo"/>
                <w:rFonts w:ascii="Arial" w:hAnsi="Arial" w:cs="Arial"/>
                <w:noProof/>
                <w:color w:val="auto"/>
                <w:sz w:val="24"/>
                <w:szCs w:val="24"/>
              </w:rPr>
              <w:t>MECANISMOS ALTERNATIVOS DE SOLUCIÓN DE CONTROVERSIAS EN MATERIA CIVIL. SI UNA DE LAS PARTES NO ACUDE A ELLOS A PESAR DE HABER SIDO NOTIFICADA DE SU INICIACIÓN, ESTO NO SIGNIFICA LA PÉRDIDA DEL DERECHO DE ACUDIR A LA JUSTICIA FORMAL.</w:t>
            </w:r>
            <w:r w:rsidRPr="00C52B00">
              <w:rPr>
                <w:rFonts w:ascii="Arial" w:hAnsi="Arial" w:cs="Arial"/>
                <w:noProof/>
                <w:webHidden/>
                <w:sz w:val="24"/>
                <w:szCs w:val="24"/>
              </w:rPr>
              <w:tab/>
            </w:r>
            <w:r w:rsidRPr="00C52B00">
              <w:rPr>
                <w:rFonts w:ascii="Arial" w:hAnsi="Arial" w:cs="Arial"/>
                <w:noProof/>
                <w:webHidden/>
                <w:sz w:val="24"/>
                <w:szCs w:val="24"/>
              </w:rPr>
              <w:fldChar w:fldCharType="begin"/>
            </w:r>
            <w:r w:rsidRPr="00C52B00">
              <w:rPr>
                <w:rFonts w:ascii="Arial" w:hAnsi="Arial" w:cs="Arial"/>
                <w:noProof/>
                <w:webHidden/>
                <w:sz w:val="24"/>
                <w:szCs w:val="24"/>
              </w:rPr>
              <w:instrText xml:space="preserve"> PAGEREF _Toc31722762 \h </w:instrText>
            </w:r>
            <w:r w:rsidRPr="00C52B00">
              <w:rPr>
                <w:rFonts w:ascii="Arial" w:hAnsi="Arial" w:cs="Arial"/>
                <w:noProof/>
                <w:webHidden/>
                <w:sz w:val="24"/>
                <w:szCs w:val="24"/>
              </w:rPr>
            </w:r>
            <w:r w:rsidRPr="00C52B00">
              <w:rPr>
                <w:rFonts w:ascii="Arial" w:hAnsi="Arial" w:cs="Arial"/>
                <w:noProof/>
                <w:webHidden/>
                <w:sz w:val="24"/>
                <w:szCs w:val="24"/>
              </w:rPr>
              <w:fldChar w:fldCharType="separate"/>
            </w:r>
            <w:r w:rsidRPr="00C52B00">
              <w:rPr>
                <w:rFonts w:ascii="Arial" w:hAnsi="Arial" w:cs="Arial"/>
                <w:noProof/>
                <w:webHidden/>
                <w:sz w:val="24"/>
                <w:szCs w:val="24"/>
              </w:rPr>
              <w:t>6</w:t>
            </w:r>
            <w:r w:rsidRPr="00C52B00">
              <w:rPr>
                <w:rFonts w:ascii="Arial" w:hAnsi="Arial" w:cs="Arial"/>
                <w:noProof/>
                <w:webHidden/>
                <w:sz w:val="24"/>
                <w:szCs w:val="24"/>
              </w:rPr>
              <w:fldChar w:fldCharType="end"/>
            </w:r>
          </w:hyperlink>
        </w:p>
        <w:p w:rsidR="00C52B00" w:rsidRPr="00C52B00" w:rsidRDefault="00C52B00" w:rsidP="00C52B00">
          <w:pPr>
            <w:pStyle w:val="TDC2"/>
            <w:tabs>
              <w:tab w:val="left" w:pos="880"/>
              <w:tab w:val="right" w:leader="dot" w:pos="8494"/>
            </w:tabs>
            <w:jc w:val="both"/>
            <w:rPr>
              <w:rFonts w:ascii="Arial" w:eastAsiaTheme="minorEastAsia" w:hAnsi="Arial" w:cs="Arial"/>
              <w:noProof/>
              <w:sz w:val="24"/>
              <w:szCs w:val="24"/>
              <w:lang w:eastAsia="es-MX"/>
            </w:rPr>
          </w:pPr>
          <w:hyperlink w:anchor="_Toc31722763" w:history="1">
            <w:r w:rsidRPr="00C52B00">
              <w:rPr>
                <w:rStyle w:val="Hipervnculo"/>
                <w:rFonts w:ascii="Arial" w:hAnsi="Arial" w:cs="Arial"/>
                <w:noProof/>
                <w:color w:val="auto"/>
                <w:sz w:val="24"/>
                <w:szCs w:val="24"/>
              </w:rPr>
              <w:t>1.5</w:t>
            </w:r>
            <w:r w:rsidRPr="00C52B00">
              <w:rPr>
                <w:rFonts w:ascii="Arial" w:eastAsiaTheme="minorEastAsia" w:hAnsi="Arial" w:cs="Arial"/>
                <w:noProof/>
                <w:sz w:val="24"/>
                <w:szCs w:val="24"/>
                <w:lang w:eastAsia="es-MX"/>
              </w:rPr>
              <w:tab/>
            </w:r>
            <w:r w:rsidRPr="00C52B00">
              <w:rPr>
                <w:rStyle w:val="Hipervnculo"/>
                <w:rFonts w:ascii="Arial" w:hAnsi="Arial" w:cs="Arial"/>
                <w:noProof/>
                <w:color w:val="auto"/>
                <w:sz w:val="24"/>
                <w:szCs w:val="24"/>
              </w:rPr>
              <w:t>AMPARO INDIRECTO. PROCEDE CONTRA EL ACUERDO DICTADO EN UN JUICIO CIVIL QUE ADMITE LA PRUEBA DE INFORME DE INSTITUCIÓN MÉDICA OFRECIDA POR LA CONTRAPARTE DEL QUEJOSO, PARA QUE AQUÉLLA REMITA COPIA DEL EXPEDIENTE CLÍNICO DEL HIJO FINADO DE ÉSTE, AL CONSTITUIR UN ACTO DE IMPOSIBLE REPARACIÓN.</w:t>
            </w:r>
            <w:r w:rsidRPr="00C52B00">
              <w:rPr>
                <w:rFonts w:ascii="Arial" w:hAnsi="Arial" w:cs="Arial"/>
                <w:noProof/>
                <w:webHidden/>
                <w:sz w:val="24"/>
                <w:szCs w:val="24"/>
              </w:rPr>
              <w:tab/>
            </w:r>
            <w:r w:rsidRPr="00C52B00">
              <w:rPr>
                <w:rFonts w:ascii="Arial" w:hAnsi="Arial" w:cs="Arial"/>
                <w:noProof/>
                <w:webHidden/>
                <w:sz w:val="24"/>
                <w:szCs w:val="24"/>
              </w:rPr>
              <w:fldChar w:fldCharType="begin"/>
            </w:r>
            <w:r w:rsidRPr="00C52B00">
              <w:rPr>
                <w:rFonts w:ascii="Arial" w:hAnsi="Arial" w:cs="Arial"/>
                <w:noProof/>
                <w:webHidden/>
                <w:sz w:val="24"/>
                <w:szCs w:val="24"/>
              </w:rPr>
              <w:instrText xml:space="preserve"> PAGEREF _Toc31722763 \h </w:instrText>
            </w:r>
            <w:r w:rsidRPr="00C52B00">
              <w:rPr>
                <w:rFonts w:ascii="Arial" w:hAnsi="Arial" w:cs="Arial"/>
                <w:noProof/>
                <w:webHidden/>
                <w:sz w:val="24"/>
                <w:szCs w:val="24"/>
              </w:rPr>
            </w:r>
            <w:r w:rsidRPr="00C52B00">
              <w:rPr>
                <w:rFonts w:ascii="Arial" w:hAnsi="Arial" w:cs="Arial"/>
                <w:noProof/>
                <w:webHidden/>
                <w:sz w:val="24"/>
                <w:szCs w:val="24"/>
              </w:rPr>
              <w:fldChar w:fldCharType="separate"/>
            </w:r>
            <w:r w:rsidRPr="00C52B00">
              <w:rPr>
                <w:rFonts w:ascii="Arial" w:hAnsi="Arial" w:cs="Arial"/>
                <w:noProof/>
                <w:webHidden/>
                <w:sz w:val="24"/>
                <w:szCs w:val="24"/>
              </w:rPr>
              <w:t>8</w:t>
            </w:r>
            <w:r w:rsidRPr="00C52B00">
              <w:rPr>
                <w:rFonts w:ascii="Arial" w:hAnsi="Arial" w:cs="Arial"/>
                <w:noProof/>
                <w:webHidden/>
                <w:sz w:val="24"/>
                <w:szCs w:val="24"/>
              </w:rPr>
              <w:fldChar w:fldCharType="end"/>
            </w:r>
          </w:hyperlink>
        </w:p>
        <w:p w:rsidR="00C52B00" w:rsidRPr="00C52B00" w:rsidRDefault="00C52B00" w:rsidP="00C52B00">
          <w:pPr>
            <w:pStyle w:val="TDC1"/>
            <w:tabs>
              <w:tab w:val="left" w:pos="440"/>
              <w:tab w:val="right" w:leader="dot" w:pos="8494"/>
            </w:tabs>
            <w:jc w:val="both"/>
            <w:rPr>
              <w:rFonts w:ascii="Arial" w:hAnsi="Arial" w:cs="Arial"/>
              <w:noProof/>
              <w:color w:val="auto"/>
              <w:szCs w:val="24"/>
              <w:lang w:val="es-MX" w:eastAsia="es-MX"/>
            </w:rPr>
          </w:pPr>
          <w:hyperlink w:anchor="_Toc31722764" w:history="1">
            <w:r w:rsidRPr="00C52B00">
              <w:rPr>
                <w:rStyle w:val="Hipervnculo"/>
                <w:rFonts w:ascii="Arial" w:hAnsi="Arial" w:cs="Arial"/>
                <w:noProof/>
                <w:color w:val="auto"/>
                <w:szCs w:val="24"/>
              </w:rPr>
              <w:t>2.</w:t>
            </w:r>
            <w:r w:rsidRPr="00C52B00">
              <w:rPr>
                <w:rFonts w:ascii="Arial" w:hAnsi="Arial" w:cs="Arial"/>
                <w:noProof/>
                <w:color w:val="auto"/>
                <w:szCs w:val="24"/>
                <w:lang w:val="es-MX" w:eastAsia="es-MX"/>
              </w:rPr>
              <w:tab/>
            </w:r>
            <w:r w:rsidRPr="00C52B00">
              <w:rPr>
                <w:rStyle w:val="Hipervnculo"/>
                <w:rFonts w:ascii="Arial" w:hAnsi="Arial" w:cs="Arial"/>
                <w:noProof/>
                <w:color w:val="auto"/>
                <w:szCs w:val="24"/>
              </w:rPr>
              <w:t>FUENTES CONSULTADAS</w:t>
            </w:r>
            <w:r w:rsidRPr="00C52B00">
              <w:rPr>
                <w:rFonts w:ascii="Arial" w:hAnsi="Arial" w:cs="Arial"/>
                <w:noProof/>
                <w:webHidden/>
                <w:color w:val="auto"/>
                <w:szCs w:val="24"/>
              </w:rPr>
              <w:tab/>
            </w:r>
            <w:r w:rsidRPr="00C52B00">
              <w:rPr>
                <w:rFonts w:ascii="Arial" w:hAnsi="Arial" w:cs="Arial"/>
                <w:noProof/>
                <w:webHidden/>
                <w:color w:val="auto"/>
                <w:szCs w:val="24"/>
              </w:rPr>
              <w:fldChar w:fldCharType="begin"/>
            </w:r>
            <w:r w:rsidRPr="00C52B00">
              <w:rPr>
                <w:rFonts w:ascii="Arial" w:hAnsi="Arial" w:cs="Arial"/>
                <w:noProof/>
                <w:webHidden/>
                <w:color w:val="auto"/>
                <w:szCs w:val="24"/>
              </w:rPr>
              <w:instrText xml:space="preserve"> PAGEREF _Toc31722764 \h </w:instrText>
            </w:r>
            <w:r w:rsidRPr="00C52B00">
              <w:rPr>
                <w:rFonts w:ascii="Arial" w:hAnsi="Arial" w:cs="Arial"/>
                <w:noProof/>
                <w:webHidden/>
                <w:color w:val="auto"/>
                <w:szCs w:val="24"/>
              </w:rPr>
            </w:r>
            <w:r w:rsidRPr="00C52B00">
              <w:rPr>
                <w:rFonts w:ascii="Arial" w:hAnsi="Arial" w:cs="Arial"/>
                <w:noProof/>
                <w:webHidden/>
                <w:color w:val="auto"/>
                <w:szCs w:val="24"/>
              </w:rPr>
              <w:fldChar w:fldCharType="separate"/>
            </w:r>
            <w:r w:rsidRPr="00C52B00">
              <w:rPr>
                <w:rFonts w:ascii="Arial" w:hAnsi="Arial" w:cs="Arial"/>
                <w:noProof/>
                <w:webHidden/>
                <w:color w:val="auto"/>
                <w:szCs w:val="24"/>
              </w:rPr>
              <w:t>9</w:t>
            </w:r>
            <w:r w:rsidRPr="00C52B00">
              <w:rPr>
                <w:rFonts w:ascii="Arial" w:hAnsi="Arial" w:cs="Arial"/>
                <w:noProof/>
                <w:webHidden/>
                <w:color w:val="auto"/>
                <w:szCs w:val="24"/>
              </w:rPr>
              <w:fldChar w:fldCharType="end"/>
            </w:r>
          </w:hyperlink>
        </w:p>
        <w:p w:rsidR="00C52B00" w:rsidRPr="00C52B00" w:rsidRDefault="00C52B00" w:rsidP="00C52B00">
          <w:pPr>
            <w:pStyle w:val="TDC2"/>
            <w:tabs>
              <w:tab w:val="left" w:pos="880"/>
              <w:tab w:val="right" w:leader="dot" w:pos="8494"/>
            </w:tabs>
            <w:jc w:val="both"/>
            <w:rPr>
              <w:rFonts w:ascii="Arial" w:eastAsiaTheme="minorEastAsia" w:hAnsi="Arial" w:cs="Arial"/>
              <w:noProof/>
              <w:sz w:val="24"/>
              <w:szCs w:val="24"/>
              <w:lang w:eastAsia="es-MX"/>
            </w:rPr>
          </w:pPr>
          <w:hyperlink w:anchor="_Toc31722765" w:history="1">
            <w:r w:rsidRPr="00C52B00">
              <w:rPr>
                <w:rStyle w:val="Hipervnculo"/>
                <w:rFonts w:ascii="Arial" w:hAnsi="Arial" w:cs="Arial"/>
                <w:noProof/>
                <w:color w:val="auto"/>
                <w:sz w:val="24"/>
                <w:szCs w:val="24"/>
              </w:rPr>
              <w:t>2.1</w:t>
            </w:r>
            <w:r w:rsidRPr="00C52B00">
              <w:rPr>
                <w:rFonts w:ascii="Arial" w:eastAsiaTheme="minorEastAsia" w:hAnsi="Arial" w:cs="Arial"/>
                <w:noProof/>
                <w:sz w:val="24"/>
                <w:szCs w:val="24"/>
                <w:lang w:eastAsia="es-MX"/>
              </w:rPr>
              <w:tab/>
            </w:r>
            <w:r w:rsidRPr="00C52B00">
              <w:rPr>
                <w:rStyle w:val="Hipervnculo"/>
                <w:rFonts w:ascii="Arial" w:hAnsi="Arial" w:cs="Arial"/>
                <w:noProof/>
                <w:color w:val="auto"/>
                <w:sz w:val="24"/>
                <w:szCs w:val="24"/>
              </w:rPr>
              <w:t>CIBEROGRÁFICA:</w:t>
            </w:r>
            <w:r w:rsidRPr="00C52B00">
              <w:rPr>
                <w:rFonts w:ascii="Arial" w:hAnsi="Arial" w:cs="Arial"/>
                <w:noProof/>
                <w:webHidden/>
                <w:sz w:val="24"/>
                <w:szCs w:val="24"/>
              </w:rPr>
              <w:tab/>
            </w:r>
            <w:r w:rsidRPr="00C52B00">
              <w:rPr>
                <w:rFonts w:ascii="Arial" w:hAnsi="Arial" w:cs="Arial"/>
                <w:noProof/>
                <w:webHidden/>
                <w:sz w:val="24"/>
                <w:szCs w:val="24"/>
              </w:rPr>
              <w:fldChar w:fldCharType="begin"/>
            </w:r>
            <w:r w:rsidRPr="00C52B00">
              <w:rPr>
                <w:rFonts w:ascii="Arial" w:hAnsi="Arial" w:cs="Arial"/>
                <w:noProof/>
                <w:webHidden/>
                <w:sz w:val="24"/>
                <w:szCs w:val="24"/>
              </w:rPr>
              <w:instrText xml:space="preserve"> PAGEREF _Toc31722765 \h </w:instrText>
            </w:r>
            <w:r w:rsidRPr="00C52B00">
              <w:rPr>
                <w:rFonts w:ascii="Arial" w:hAnsi="Arial" w:cs="Arial"/>
                <w:noProof/>
                <w:webHidden/>
                <w:sz w:val="24"/>
                <w:szCs w:val="24"/>
              </w:rPr>
            </w:r>
            <w:r w:rsidRPr="00C52B00">
              <w:rPr>
                <w:rFonts w:ascii="Arial" w:hAnsi="Arial" w:cs="Arial"/>
                <w:noProof/>
                <w:webHidden/>
                <w:sz w:val="24"/>
                <w:szCs w:val="24"/>
              </w:rPr>
              <w:fldChar w:fldCharType="separate"/>
            </w:r>
            <w:r w:rsidRPr="00C52B00">
              <w:rPr>
                <w:rFonts w:ascii="Arial" w:hAnsi="Arial" w:cs="Arial"/>
                <w:noProof/>
                <w:webHidden/>
                <w:sz w:val="24"/>
                <w:szCs w:val="24"/>
              </w:rPr>
              <w:t>9</w:t>
            </w:r>
            <w:r w:rsidRPr="00C52B00">
              <w:rPr>
                <w:rFonts w:ascii="Arial" w:hAnsi="Arial" w:cs="Arial"/>
                <w:noProof/>
                <w:webHidden/>
                <w:sz w:val="24"/>
                <w:szCs w:val="24"/>
              </w:rPr>
              <w:fldChar w:fldCharType="end"/>
            </w:r>
          </w:hyperlink>
        </w:p>
        <w:p w:rsidR="00C52B00" w:rsidRPr="00C52B00" w:rsidRDefault="00C52B00" w:rsidP="00C52B00">
          <w:pPr>
            <w:pStyle w:val="TDC3"/>
            <w:tabs>
              <w:tab w:val="left" w:pos="1320"/>
              <w:tab w:val="right" w:leader="dot" w:pos="8494"/>
            </w:tabs>
            <w:jc w:val="both"/>
            <w:rPr>
              <w:rFonts w:ascii="Arial" w:eastAsiaTheme="minorEastAsia" w:hAnsi="Arial" w:cs="Arial"/>
              <w:noProof/>
              <w:sz w:val="24"/>
              <w:szCs w:val="24"/>
              <w:lang w:eastAsia="es-MX"/>
            </w:rPr>
          </w:pPr>
          <w:hyperlink w:anchor="_Toc31722766" w:history="1">
            <w:r w:rsidRPr="00C52B00">
              <w:rPr>
                <w:rStyle w:val="Hipervnculo"/>
                <w:rFonts w:ascii="Arial" w:hAnsi="Arial" w:cs="Arial"/>
                <w:noProof/>
                <w:color w:val="auto"/>
                <w:sz w:val="24"/>
                <w:szCs w:val="24"/>
              </w:rPr>
              <w:t>2.1.1</w:t>
            </w:r>
            <w:r w:rsidRPr="00C52B00">
              <w:rPr>
                <w:rFonts w:ascii="Arial" w:eastAsiaTheme="minorEastAsia" w:hAnsi="Arial" w:cs="Arial"/>
                <w:noProof/>
                <w:sz w:val="24"/>
                <w:szCs w:val="24"/>
                <w:lang w:eastAsia="es-MX"/>
              </w:rPr>
              <w:tab/>
            </w:r>
            <w:r w:rsidRPr="00C52B00">
              <w:rPr>
                <w:rStyle w:val="Hipervnculo"/>
                <w:rFonts w:ascii="Arial" w:hAnsi="Arial" w:cs="Arial"/>
                <w:noProof/>
                <w:color w:val="auto"/>
                <w:sz w:val="24"/>
                <w:szCs w:val="24"/>
              </w:rPr>
              <w:t>SEMANARIO JUDICIAL DE LA FEDERACIÓN</w:t>
            </w:r>
            <w:r w:rsidRPr="00C52B00">
              <w:rPr>
                <w:rFonts w:ascii="Arial" w:hAnsi="Arial" w:cs="Arial"/>
                <w:noProof/>
                <w:webHidden/>
                <w:sz w:val="24"/>
                <w:szCs w:val="24"/>
              </w:rPr>
              <w:tab/>
            </w:r>
            <w:r w:rsidRPr="00C52B00">
              <w:rPr>
                <w:rFonts w:ascii="Arial" w:hAnsi="Arial" w:cs="Arial"/>
                <w:noProof/>
                <w:webHidden/>
                <w:sz w:val="24"/>
                <w:szCs w:val="24"/>
              </w:rPr>
              <w:fldChar w:fldCharType="begin"/>
            </w:r>
            <w:r w:rsidRPr="00C52B00">
              <w:rPr>
                <w:rFonts w:ascii="Arial" w:hAnsi="Arial" w:cs="Arial"/>
                <w:noProof/>
                <w:webHidden/>
                <w:sz w:val="24"/>
                <w:szCs w:val="24"/>
              </w:rPr>
              <w:instrText xml:space="preserve"> PAGEREF _Toc31722766 \h </w:instrText>
            </w:r>
            <w:r w:rsidRPr="00C52B00">
              <w:rPr>
                <w:rFonts w:ascii="Arial" w:hAnsi="Arial" w:cs="Arial"/>
                <w:noProof/>
                <w:webHidden/>
                <w:sz w:val="24"/>
                <w:szCs w:val="24"/>
              </w:rPr>
            </w:r>
            <w:r w:rsidRPr="00C52B00">
              <w:rPr>
                <w:rFonts w:ascii="Arial" w:hAnsi="Arial" w:cs="Arial"/>
                <w:noProof/>
                <w:webHidden/>
                <w:sz w:val="24"/>
                <w:szCs w:val="24"/>
              </w:rPr>
              <w:fldChar w:fldCharType="separate"/>
            </w:r>
            <w:r w:rsidRPr="00C52B00">
              <w:rPr>
                <w:rFonts w:ascii="Arial" w:hAnsi="Arial" w:cs="Arial"/>
                <w:noProof/>
                <w:webHidden/>
                <w:sz w:val="24"/>
                <w:szCs w:val="24"/>
              </w:rPr>
              <w:t>9</w:t>
            </w:r>
            <w:r w:rsidRPr="00C52B00">
              <w:rPr>
                <w:rFonts w:ascii="Arial" w:hAnsi="Arial" w:cs="Arial"/>
                <w:noProof/>
                <w:webHidden/>
                <w:sz w:val="24"/>
                <w:szCs w:val="24"/>
              </w:rPr>
              <w:fldChar w:fldCharType="end"/>
            </w:r>
          </w:hyperlink>
        </w:p>
        <w:p w:rsidR="00C52B00" w:rsidRDefault="00C52B00" w:rsidP="00C52B00">
          <w:pPr>
            <w:jc w:val="both"/>
          </w:pPr>
          <w:r w:rsidRPr="00C52B00">
            <w:rPr>
              <w:rFonts w:ascii="Arial" w:hAnsi="Arial" w:cs="Arial"/>
              <w:b/>
              <w:bCs/>
              <w:color w:val="auto"/>
              <w:szCs w:val="24"/>
            </w:rPr>
            <w:fldChar w:fldCharType="end"/>
          </w:r>
        </w:p>
      </w:sdtContent>
    </w:sdt>
    <w:p w:rsidR="004B424A" w:rsidRPr="00C52B00" w:rsidRDefault="00C52B00" w:rsidP="00C52B00">
      <w:pPr>
        <w:pStyle w:val="Ttulo1"/>
        <w:numPr>
          <w:ilvl w:val="0"/>
          <w:numId w:val="18"/>
        </w:numPr>
        <w:jc w:val="center"/>
        <w:rPr>
          <w:rFonts w:ascii="Arial" w:hAnsi="Arial" w:cs="Arial"/>
          <w:color w:val="B35E06" w:themeColor="accent1" w:themeShade="BF"/>
          <w:sz w:val="36"/>
          <w:szCs w:val="36"/>
        </w:rPr>
      </w:pPr>
      <w:r>
        <w:br w:type="page"/>
      </w:r>
      <w:bookmarkStart w:id="0" w:name="_Toc31722758"/>
      <w:bookmarkStart w:id="1" w:name="_GoBack"/>
      <w:bookmarkEnd w:id="1"/>
      <w:r w:rsidR="004B424A" w:rsidRPr="00C52B00">
        <w:rPr>
          <w:rFonts w:ascii="Arial" w:hAnsi="Arial" w:cs="Arial"/>
          <w:color w:val="B35E06" w:themeColor="accent1" w:themeShade="BF"/>
          <w:sz w:val="36"/>
          <w:szCs w:val="36"/>
        </w:rPr>
        <w:lastRenderedPageBreak/>
        <w:t>TESIS AISLADAS EN MATERIA CIVIL</w:t>
      </w:r>
      <w:bookmarkEnd w:id="0"/>
    </w:p>
    <w:p w:rsidR="004B424A" w:rsidRDefault="004B424A" w:rsidP="000B1C47">
      <w:pPr>
        <w:spacing w:after="0" w:line="240" w:lineRule="auto"/>
        <w:jc w:val="both"/>
        <w:rPr>
          <w:rFonts w:ascii="Arial" w:hAnsi="Arial" w:cs="Arial"/>
        </w:rPr>
      </w:pPr>
    </w:p>
    <w:p w:rsidR="00E66BF0" w:rsidRPr="000B1C47" w:rsidRDefault="00DA4AFF" w:rsidP="000B1C47">
      <w:pPr>
        <w:spacing w:after="0" w:line="240" w:lineRule="auto"/>
        <w:jc w:val="both"/>
        <w:rPr>
          <w:rFonts w:ascii="Arial" w:hAnsi="Arial" w:cs="Arial"/>
        </w:rPr>
      </w:pPr>
      <w:r>
        <w:rPr>
          <w:rFonts w:ascii="Arial" w:hAnsi="Arial" w:cs="Arial"/>
        </w:rPr>
        <w:t xml:space="preserve">1. </w:t>
      </w:r>
      <w:r w:rsidR="00E66BF0" w:rsidRPr="000B1C47">
        <w:rPr>
          <w:rFonts w:ascii="Arial" w:hAnsi="Arial" w:cs="Arial"/>
        </w:rPr>
        <w:t xml:space="preserve">Época: Décima Época </w:t>
      </w:r>
    </w:p>
    <w:p w:rsidR="00E66BF0" w:rsidRPr="000B1C47" w:rsidRDefault="00E66BF0" w:rsidP="000B1C47">
      <w:pPr>
        <w:spacing w:after="0" w:line="240" w:lineRule="auto"/>
        <w:jc w:val="both"/>
        <w:rPr>
          <w:rFonts w:ascii="Arial" w:hAnsi="Arial" w:cs="Arial"/>
        </w:rPr>
      </w:pPr>
      <w:r w:rsidRPr="000B1C47">
        <w:rPr>
          <w:rFonts w:ascii="Arial" w:hAnsi="Arial" w:cs="Arial"/>
        </w:rPr>
        <w:t xml:space="preserve">Registro: 2021542 </w:t>
      </w:r>
    </w:p>
    <w:p w:rsidR="00E66BF0" w:rsidRPr="000B1C47" w:rsidRDefault="00E66BF0" w:rsidP="000B1C47">
      <w:pPr>
        <w:spacing w:after="0" w:line="240" w:lineRule="auto"/>
        <w:jc w:val="both"/>
        <w:rPr>
          <w:rFonts w:ascii="Arial" w:hAnsi="Arial" w:cs="Arial"/>
        </w:rPr>
      </w:pPr>
      <w:r w:rsidRPr="000B1C47">
        <w:rPr>
          <w:rFonts w:ascii="Arial" w:hAnsi="Arial" w:cs="Arial"/>
        </w:rPr>
        <w:t xml:space="preserve">Instancia: Tribunales Colegiados de Circuito </w:t>
      </w:r>
    </w:p>
    <w:p w:rsidR="00E66BF0" w:rsidRPr="000B1C47" w:rsidRDefault="00E66BF0" w:rsidP="000B1C47">
      <w:pPr>
        <w:spacing w:after="0" w:line="240" w:lineRule="auto"/>
        <w:jc w:val="both"/>
        <w:rPr>
          <w:rFonts w:ascii="Arial" w:hAnsi="Arial" w:cs="Arial"/>
        </w:rPr>
      </w:pPr>
      <w:r w:rsidRPr="000B1C47">
        <w:rPr>
          <w:rFonts w:ascii="Arial" w:hAnsi="Arial" w:cs="Arial"/>
        </w:rPr>
        <w:t xml:space="preserve">Tipo de Tesis: Aislada </w:t>
      </w:r>
    </w:p>
    <w:p w:rsidR="00E66BF0" w:rsidRPr="000B1C47" w:rsidRDefault="00E66BF0" w:rsidP="000B1C47">
      <w:pPr>
        <w:spacing w:after="0" w:line="240" w:lineRule="auto"/>
        <w:jc w:val="both"/>
        <w:rPr>
          <w:rFonts w:ascii="Arial" w:hAnsi="Arial" w:cs="Arial"/>
        </w:rPr>
      </w:pPr>
      <w:r w:rsidRPr="000B1C47">
        <w:rPr>
          <w:rFonts w:ascii="Arial" w:hAnsi="Arial" w:cs="Arial"/>
        </w:rPr>
        <w:t xml:space="preserve">Fuente: Semanario Judicial de la Federación </w:t>
      </w:r>
    </w:p>
    <w:p w:rsidR="00E66BF0" w:rsidRPr="000B1C47" w:rsidRDefault="00E66BF0" w:rsidP="000B1C47">
      <w:pPr>
        <w:spacing w:after="0" w:line="240" w:lineRule="auto"/>
        <w:jc w:val="both"/>
        <w:rPr>
          <w:rFonts w:ascii="Arial" w:hAnsi="Arial" w:cs="Arial"/>
        </w:rPr>
      </w:pPr>
      <w:r w:rsidRPr="000B1C47">
        <w:rPr>
          <w:rFonts w:ascii="Arial" w:hAnsi="Arial" w:cs="Arial"/>
        </w:rPr>
        <w:t xml:space="preserve">Publicación: viernes 31 de enero de 2020 10:32 h </w:t>
      </w:r>
    </w:p>
    <w:p w:rsidR="00E66BF0" w:rsidRPr="000B1C47" w:rsidRDefault="00E66BF0" w:rsidP="000B1C47">
      <w:pPr>
        <w:spacing w:after="0" w:line="240" w:lineRule="auto"/>
        <w:jc w:val="both"/>
        <w:rPr>
          <w:rFonts w:ascii="Arial" w:hAnsi="Arial" w:cs="Arial"/>
        </w:rPr>
      </w:pPr>
      <w:r w:rsidRPr="000B1C47">
        <w:rPr>
          <w:rFonts w:ascii="Arial" w:hAnsi="Arial" w:cs="Arial"/>
        </w:rPr>
        <w:t xml:space="preserve">Materia(s): (Civil) </w:t>
      </w:r>
    </w:p>
    <w:p w:rsidR="00E66BF0" w:rsidRPr="000B1C47" w:rsidRDefault="00E66BF0" w:rsidP="000B1C47">
      <w:pPr>
        <w:spacing w:after="0" w:line="240" w:lineRule="auto"/>
        <w:jc w:val="both"/>
        <w:rPr>
          <w:rFonts w:ascii="Arial" w:hAnsi="Arial" w:cs="Arial"/>
        </w:rPr>
      </w:pPr>
      <w:r w:rsidRPr="000B1C47">
        <w:rPr>
          <w:rFonts w:ascii="Arial" w:hAnsi="Arial" w:cs="Arial"/>
        </w:rPr>
        <w:t xml:space="preserve">Tesis: II.4o.C.32 C (10a.) </w:t>
      </w:r>
    </w:p>
    <w:p w:rsidR="00E66BF0" w:rsidRPr="000B1C47" w:rsidRDefault="00E66BF0" w:rsidP="000B1C47">
      <w:pPr>
        <w:spacing w:after="0" w:line="240" w:lineRule="auto"/>
        <w:jc w:val="both"/>
        <w:rPr>
          <w:rFonts w:ascii="Arial" w:hAnsi="Arial" w:cs="Arial"/>
        </w:rPr>
      </w:pPr>
    </w:p>
    <w:p w:rsidR="00E66BF0" w:rsidRPr="00DA4AFF" w:rsidRDefault="00E66BF0" w:rsidP="00DA4AFF">
      <w:pPr>
        <w:pStyle w:val="Ttulo2"/>
        <w:jc w:val="both"/>
        <w:rPr>
          <w:rFonts w:ascii="Arial" w:hAnsi="Arial" w:cs="Arial"/>
          <w:color w:val="B35E06" w:themeColor="accent1" w:themeShade="BF"/>
          <w:sz w:val="26"/>
          <w:szCs w:val="26"/>
        </w:rPr>
      </w:pPr>
      <w:bookmarkStart w:id="2" w:name="_Toc31722759"/>
      <w:r w:rsidRPr="00DA4AFF">
        <w:rPr>
          <w:rFonts w:ascii="Arial" w:hAnsi="Arial" w:cs="Arial"/>
          <w:color w:val="B35E06" w:themeColor="accent1" w:themeShade="BF"/>
          <w:sz w:val="26"/>
          <w:szCs w:val="26"/>
        </w:rPr>
        <w:t>RECURSO DE QUEJA. PROCEDE CONTRA EL AUTO EN EL QUE EL JUEZ SE INHIBE DE CONOCER DE LA DEMANDA POR RAZÓN DE TERRITORIO Y DEJA A DISPOSICIÓN DEL ACTOR LOS DOCUMENTOS EXHIBIDOS CON ÉSTA (LEGISLACIÓN DEL ESTADO DE MÉXICO).</w:t>
      </w:r>
      <w:bookmarkEnd w:id="2"/>
    </w:p>
    <w:p w:rsidR="00E66BF0" w:rsidRPr="000B1C47" w:rsidRDefault="00E66BF0" w:rsidP="000B1C47">
      <w:pPr>
        <w:spacing w:after="0" w:line="240" w:lineRule="auto"/>
        <w:jc w:val="both"/>
        <w:rPr>
          <w:rFonts w:ascii="Arial" w:hAnsi="Arial" w:cs="Arial"/>
        </w:rPr>
      </w:pPr>
    </w:p>
    <w:p w:rsidR="00E66BF0" w:rsidRPr="000B1C47" w:rsidRDefault="00E66BF0" w:rsidP="000B1C47">
      <w:pPr>
        <w:spacing w:after="0" w:line="240" w:lineRule="auto"/>
        <w:jc w:val="both"/>
        <w:rPr>
          <w:rFonts w:ascii="Arial" w:hAnsi="Arial" w:cs="Arial"/>
        </w:rPr>
      </w:pPr>
      <w:r w:rsidRPr="000B1C47">
        <w:rPr>
          <w:rFonts w:ascii="Arial" w:hAnsi="Arial" w:cs="Arial"/>
        </w:rPr>
        <w:t>En la jurisprudencia 1a</w:t>
      </w:r>
      <w:proofErr w:type="gramStart"/>
      <w:r w:rsidRPr="000B1C47">
        <w:rPr>
          <w:rFonts w:ascii="Arial" w:hAnsi="Arial" w:cs="Arial"/>
        </w:rPr>
        <w:t>./</w:t>
      </w:r>
      <w:proofErr w:type="gramEnd"/>
      <w:r w:rsidRPr="000B1C47">
        <w:rPr>
          <w:rFonts w:ascii="Arial" w:hAnsi="Arial" w:cs="Arial"/>
        </w:rPr>
        <w:t xml:space="preserve">J. 16/2014 (10a.), de título y subtítulo: "COMPETENCIA. LA FACULTAD DE LOS TRIBUNALES PARA INHIBIRSE DEL CONOCIMIENTO DE UN ASUNTO EN EL PRIMER PROVEÍDO, SIGNIFICA DESECHAR LA DEMANDA Y PONERLA A DISPOSICIÓN DEL ACTOR CON SUS ANEXOS, MAS NO ENVIARLA A OTRO TRIBUNAL.", la Primera Sala de la Suprema Corte de Justicia de la Nación estableció que de acuerdo con los artículos 1115 del Código de Comercio y 165 del Código de Procedimientos Civiles para el Distrito Federal (hoy Ciudad de México) y sus similares en otros ordenamientos, los tribunales están facultados para inhibirse del conocimiento de asuntos cuando consideren no tener competencia para ello, siempre y cuando lo hagan en el primer proveído respecto de la demanda; que el ejercicio de esa facultad significa desechar ese escrito inicial y ponerlo a disposición del actor con sus anexos, pero no enviarlo a otro tribunal que se considere competente; que lo anterior resulta así, porque en el contexto de la disposición, la palabra "inhibirse" está usada en su acepción más simple de abstenerse o dejar de actuar, lo cual se cumple con el abandono del conocimiento del asunto mediante el </w:t>
      </w:r>
      <w:proofErr w:type="spellStart"/>
      <w:r w:rsidRPr="000B1C47">
        <w:rPr>
          <w:rFonts w:ascii="Arial" w:hAnsi="Arial" w:cs="Arial"/>
        </w:rPr>
        <w:t>desechamiento</w:t>
      </w:r>
      <w:proofErr w:type="spellEnd"/>
      <w:r w:rsidRPr="000B1C47">
        <w:rPr>
          <w:rFonts w:ascii="Arial" w:hAnsi="Arial" w:cs="Arial"/>
        </w:rPr>
        <w:t xml:space="preserve"> de la demanda, en razón que de considerar que en tal caso debe remitirse el escrito inicial a otro tribunal que se considere competente, conduciría a un contrasentido, porque implicaría suscitar una cuestión de competencia por el propio tribunal, lo cual está prohibido en los preceptos señalados; consecuentemente, el auto por el cual el Juez se inhibe de conocer de la demanda por razón de territorio y deja a </w:t>
      </w:r>
      <w:r w:rsidRPr="000B1C47">
        <w:rPr>
          <w:rFonts w:ascii="Arial" w:hAnsi="Arial" w:cs="Arial"/>
        </w:rPr>
        <w:lastRenderedPageBreak/>
        <w:t xml:space="preserve">disposición del actor los documentos exhibidos con ésta, si bien no constituye de forma expresa un </w:t>
      </w:r>
      <w:proofErr w:type="spellStart"/>
      <w:r w:rsidRPr="000B1C47">
        <w:rPr>
          <w:rFonts w:ascii="Arial" w:hAnsi="Arial" w:cs="Arial"/>
        </w:rPr>
        <w:t>desechamiento</w:t>
      </w:r>
      <w:proofErr w:type="spellEnd"/>
      <w:r w:rsidRPr="000B1C47">
        <w:rPr>
          <w:rFonts w:ascii="Arial" w:hAnsi="Arial" w:cs="Arial"/>
        </w:rPr>
        <w:t>, por sus efectos y consecuencias, resulta equiparable a éste en términos de la jurisprudencia referida; por ende, al ser una determinación en la que finalmente no se admite la demanda, actualiza el supuesto de procedencia del recurso de queja previsto en el artículo 1.393, fracción I, del Código de Procedimientos Civiles del Estado de México y no el de apelación que prevé el diverso 1.51 del propio ordenamiento, en virtud de que el último medio de impugnación citado está reservado exclusivamente para aquellos casos en los que el juzgador se considere incompetente por razón de materia, grado o cuantía y se inhiba del conocimiento del negocio.</w:t>
      </w:r>
    </w:p>
    <w:p w:rsidR="00E66BF0" w:rsidRPr="000B1C47" w:rsidRDefault="00E66BF0" w:rsidP="000B1C47">
      <w:pPr>
        <w:spacing w:after="0" w:line="240" w:lineRule="auto"/>
        <w:jc w:val="both"/>
        <w:rPr>
          <w:rFonts w:ascii="Arial" w:hAnsi="Arial" w:cs="Arial"/>
        </w:rPr>
      </w:pPr>
    </w:p>
    <w:p w:rsidR="00E66BF0" w:rsidRPr="000B1C47" w:rsidRDefault="00E66BF0" w:rsidP="000B1C47">
      <w:pPr>
        <w:spacing w:after="0" w:line="240" w:lineRule="auto"/>
        <w:jc w:val="both"/>
        <w:rPr>
          <w:rFonts w:ascii="Arial" w:hAnsi="Arial" w:cs="Arial"/>
        </w:rPr>
      </w:pPr>
      <w:r w:rsidRPr="000B1C47">
        <w:rPr>
          <w:rFonts w:ascii="Arial" w:hAnsi="Arial" w:cs="Arial"/>
        </w:rPr>
        <w:t>CUARTO TRIBUNAL COLEGIADO EN MATERIA CIVIL DEL SEGUNDO CIRCUITO.</w:t>
      </w:r>
    </w:p>
    <w:p w:rsidR="00E66BF0" w:rsidRPr="000B1C47" w:rsidRDefault="00E66BF0" w:rsidP="000B1C47">
      <w:pPr>
        <w:spacing w:after="0" w:line="240" w:lineRule="auto"/>
        <w:jc w:val="both"/>
        <w:rPr>
          <w:rFonts w:ascii="Arial" w:hAnsi="Arial" w:cs="Arial"/>
        </w:rPr>
      </w:pPr>
    </w:p>
    <w:p w:rsidR="00E66BF0" w:rsidRPr="000B1C47" w:rsidRDefault="00E66BF0" w:rsidP="000B1C47">
      <w:pPr>
        <w:spacing w:after="0" w:line="240" w:lineRule="auto"/>
        <w:jc w:val="both"/>
        <w:rPr>
          <w:rFonts w:ascii="Arial" w:hAnsi="Arial" w:cs="Arial"/>
        </w:rPr>
      </w:pPr>
      <w:r w:rsidRPr="000B1C47">
        <w:rPr>
          <w:rFonts w:ascii="Arial" w:hAnsi="Arial" w:cs="Arial"/>
        </w:rPr>
        <w:t>Amparo directo 650/2019. Baltazar González Vilchis. 31 de octubre de 2019. Unanimidad de votos. Ponente: Javier Cardoso Chávez. Secretario: Manuel López Reyes.</w:t>
      </w:r>
    </w:p>
    <w:p w:rsidR="00E66BF0" w:rsidRPr="000B1C47" w:rsidRDefault="00E66BF0" w:rsidP="000B1C47">
      <w:pPr>
        <w:spacing w:after="0" w:line="240" w:lineRule="auto"/>
        <w:jc w:val="both"/>
        <w:rPr>
          <w:rFonts w:ascii="Arial" w:hAnsi="Arial" w:cs="Arial"/>
        </w:rPr>
      </w:pPr>
    </w:p>
    <w:p w:rsidR="00E66BF0" w:rsidRPr="000B1C47" w:rsidRDefault="00E66BF0" w:rsidP="000B1C47">
      <w:pPr>
        <w:spacing w:after="0" w:line="240" w:lineRule="auto"/>
        <w:jc w:val="both"/>
        <w:rPr>
          <w:rFonts w:ascii="Arial" w:hAnsi="Arial" w:cs="Arial"/>
        </w:rPr>
      </w:pPr>
      <w:r w:rsidRPr="000B1C47">
        <w:rPr>
          <w:rFonts w:ascii="Arial" w:hAnsi="Arial" w:cs="Arial"/>
        </w:rPr>
        <w:t>Nota: La tesis de jurisprudencia 1a./J. 16/2014 (10a.) citada, aparece publicada en el Semanario Judicial de la Federación del viernes 4 de abril de 2014 a las 10:40 horas y en la Gaceta del Semanario Judicial de la Federación, Décima Época, Libro 5, Tomo I, abril de 2014, página 611, con número de registro digital: 2006095.</w:t>
      </w:r>
    </w:p>
    <w:p w:rsidR="00E66BF0" w:rsidRPr="000B1C47" w:rsidRDefault="00E66BF0" w:rsidP="000B1C47">
      <w:pPr>
        <w:spacing w:after="0" w:line="240" w:lineRule="auto"/>
        <w:jc w:val="both"/>
        <w:rPr>
          <w:rFonts w:ascii="Arial" w:hAnsi="Arial" w:cs="Arial"/>
        </w:rPr>
      </w:pPr>
    </w:p>
    <w:p w:rsidR="00623FA6" w:rsidRDefault="00623FA6" w:rsidP="000B1C47">
      <w:pPr>
        <w:spacing w:after="0" w:line="240" w:lineRule="auto"/>
        <w:jc w:val="both"/>
        <w:rPr>
          <w:rFonts w:ascii="Arial" w:hAnsi="Arial" w:cs="Arial"/>
        </w:rPr>
      </w:pPr>
    </w:p>
    <w:p w:rsidR="00834E7E" w:rsidRPr="00834E7E" w:rsidRDefault="00DA4AFF" w:rsidP="00834E7E">
      <w:pPr>
        <w:spacing w:after="0" w:line="240" w:lineRule="auto"/>
        <w:jc w:val="both"/>
        <w:rPr>
          <w:rFonts w:ascii="Arial" w:hAnsi="Arial" w:cs="Arial"/>
        </w:rPr>
      </w:pPr>
      <w:r>
        <w:rPr>
          <w:rFonts w:ascii="Arial" w:hAnsi="Arial" w:cs="Arial"/>
        </w:rPr>
        <w:t xml:space="preserve">2. </w:t>
      </w:r>
      <w:r w:rsidR="00834E7E" w:rsidRPr="00834E7E">
        <w:rPr>
          <w:rFonts w:ascii="Arial" w:hAnsi="Arial" w:cs="Arial"/>
        </w:rPr>
        <w:t xml:space="preserve">Época: Décima Época </w:t>
      </w:r>
    </w:p>
    <w:p w:rsidR="00834E7E" w:rsidRPr="00834E7E" w:rsidRDefault="00834E7E" w:rsidP="00834E7E">
      <w:pPr>
        <w:spacing w:after="0" w:line="240" w:lineRule="auto"/>
        <w:jc w:val="both"/>
        <w:rPr>
          <w:rFonts w:ascii="Arial" w:hAnsi="Arial" w:cs="Arial"/>
        </w:rPr>
      </w:pPr>
      <w:r w:rsidRPr="00834E7E">
        <w:rPr>
          <w:rFonts w:ascii="Arial" w:hAnsi="Arial" w:cs="Arial"/>
        </w:rPr>
        <w:t xml:space="preserve">Registro: 2021537 </w:t>
      </w:r>
    </w:p>
    <w:p w:rsidR="00834E7E" w:rsidRPr="00834E7E" w:rsidRDefault="00834E7E" w:rsidP="00834E7E">
      <w:pPr>
        <w:spacing w:after="0" w:line="240" w:lineRule="auto"/>
        <w:jc w:val="both"/>
        <w:rPr>
          <w:rFonts w:ascii="Arial" w:hAnsi="Arial" w:cs="Arial"/>
        </w:rPr>
      </w:pPr>
      <w:r w:rsidRPr="00834E7E">
        <w:rPr>
          <w:rFonts w:ascii="Arial" w:hAnsi="Arial" w:cs="Arial"/>
        </w:rPr>
        <w:t xml:space="preserve">Instancia: Tribunales Colegiados de Circuito </w:t>
      </w:r>
    </w:p>
    <w:p w:rsidR="00834E7E" w:rsidRPr="00834E7E" w:rsidRDefault="00834E7E" w:rsidP="00834E7E">
      <w:pPr>
        <w:spacing w:after="0" w:line="240" w:lineRule="auto"/>
        <w:jc w:val="both"/>
        <w:rPr>
          <w:rFonts w:ascii="Arial" w:hAnsi="Arial" w:cs="Arial"/>
        </w:rPr>
      </w:pPr>
      <w:r w:rsidRPr="00834E7E">
        <w:rPr>
          <w:rFonts w:ascii="Arial" w:hAnsi="Arial" w:cs="Arial"/>
        </w:rPr>
        <w:t xml:space="preserve">Tipo de Tesis: Aislada </w:t>
      </w:r>
    </w:p>
    <w:p w:rsidR="00834E7E" w:rsidRPr="00834E7E" w:rsidRDefault="00834E7E" w:rsidP="00834E7E">
      <w:pPr>
        <w:spacing w:after="0" w:line="240" w:lineRule="auto"/>
        <w:jc w:val="both"/>
        <w:rPr>
          <w:rFonts w:ascii="Arial" w:hAnsi="Arial" w:cs="Arial"/>
        </w:rPr>
      </w:pPr>
      <w:r w:rsidRPr="00834E7E">
        <w:rPr>
          <w:rFonts w:ascii="Arial" w:hAnsi="Arial" w:cs="Arial"/>
        </w:rPr>
        <w:t xml:space="preserve">Fuente: Semanario Judicial de la Federación </w:t>
      </w:r>
    </w:p>
    <w:p w:rsidR="00834E7E" w:rsidRPr="00834E7E" w:rsidRDefault="00834E7E" w:rsidP="00834E7E">
      <w:pPr>
        <w:spacing w:after="0" w:line="240" w:lineRule="auto"/>
        <w:jc w:val="both"/>
        <w:rPr>
          <w:rFonts w:ascii="Arial" w:hAnsi="Arial" w:cs="Arial"/>
        </w:rPr>
      </w:pPr>
      <w:r w:rsidRPr="00834E7E">
        <w:rPr>
          <w:rFonts w:ascii="Arial" w:hAnsi="Arial" w:cs="Arial"/>
        </w:rPr>
        <w:t xml:space="preserve">Publicación: viernes 31 de enero de 2020 10:32 h </w:t>
      </w:r>
    </w:p>
    <w:p w:rsidR="00834E7E" w:rsidRPr="00834E7E" w:rsidRDefault="00834E7E" w:rsidP="00834E7E">
      <w:pPr>
        <w:spacing w:after="0" w:line="240" w:lineRule="auto"/>
        <w:jc w:val="both"/>
        <w:rPr>
          <w:rFonts w:ascii="Arial" w:hAnsi="Arial" w:cs="Arial"/>
        </w:rPr>
      </w:pPr>
      <w:r w:rsidRPr="00834E7E">
        <w:rPr>
          <w:rFonts w:ascii="Arial" w:hAnsi="Arial" w:cs="Arial"/>
        </w:rPr>
        <w:t xml:space="preserve">Materia(s): (Civil) </w:t>
      </w:r>
    </w:p>
    <w:p w:rsidR="00834E7E" w:rsidRPr="00834E7E" w:rsidRDefault="00834E7E" w:rsidP="00834E7E">
      <w:pPr>
        <w:spacing w:after="0" w:line="240" w:lineRule="auto"/>
        <w:jc w:val="both"/>
        <w:rPr>
          <w:rFonts w:ascii="Arial" w:hAnsi="Arial" w:cs="Arial"/>
        </w:rPr>
      </w:pPr>
      <w:r w:rsidRPr="00834E7E">
        <w:rPr>
          <w:rFonts w:ascii="Arial" w:hAnsi="Arial" w:cs="Arial"/>
        </w:rPr>
        <w:t xml:space="preserve">Tesis: VII.2o.C.222 C (10a.) </w:t>
      </w:r>
    </w:p>
    <w:p w:rsidR="00834E7E" w:rsidRPr="00834E7E" w:rsidRDefault="00834E7E" w:rsidP="00834E7E">
      <w:pPr>
        <w:spacing w:after="0" w:line="240" w:lineRule="auto"/>
        <w:jc w:val="both"/>
        <w:rPr>
          <w:rFonts w:ascii="Arial" w:hAnsi="Arial" w:cs="Arial"/>
        </w:rPr>
      </w:pPr>
    </w:p>
    <w:p w:rsidR="00834E7E" w:rsidRPr="00EF7399" w:rsidRDefault="00834E7E" w:rsidP="00EF7399">
      <w:pPr>
        <w:pStyle w:val="Ttulo2"/>
        <w:jc w:val="both"/>
        <w:rPr>
          <w:rFonts w:ascii="Arial" w:hAnsi="Arial" w:cs="Arial"/>
          <w:color w:val="B35E06" w:themeColor="accent1" w:themeShade="BF"/>
          <w:sz w:val="26"/>
          <w:szCs w:val="26"/>
        </w:rPr>
      </w:pPr>
      <w:bookmarkStart w:id="3" w:name="_Toc31722760"/>
      <w:r w:rsidRPr="00EF7399">
        <w:rPr>
          <w:rFonts w:ascii="Arial" w:hAnsi="Arial" w:cs="Arial"/>
          <w:color w:val="B35E06" w:themeColor="accent1" w:themeShade="BF"/>
          <w:sz w:val="26"/>
          <w:szCs w:val="26"/>
        </w:rPr>
        <w:t>PRESCRIPCIÓN POSITIVA DE MALA FE. LOS VICIOS CONTENIDOS EN EL DOCUMENTO QUE ACREDITA LA CAUSA GENERADORA DE LA POSESIÓN SON MENOS TRASCENDENTES PARA LA PROCEDENCIA DE DICHA ACCIÓN (LEGISLACIÓN DEL ESTADO DE VERACRUZ).</w:t>
      </w:r>
      <w:bookmarkEnd w:id="3"/>
    </w:p>
    <w:p w:rsidR="00834E7E" w:rsidRPr="00834E7E" w:rsidRDefault="00834E7E" w:rsidP="00834E7E">
      <w:pPr>
        <w:spacing w:after="0" w:line="240" w:lineRule="auto"/>
        <w:jc w:val="both"/>
        <w:rPr>
          <w:rFonts w:ascii="Arial" w:hAnsi="Arial" w:cs="Arial"/>
        </w:rPr>
      </w:pPr>
    </w:p>
    <w:p w:rsidR="00834E7E" w:rsidRPr="00834E7E" w:rsidRDefault="00834E7E" w:rsidP="00834E7E">
      <w:pPr>
        <w:spacing w:after="0" w:line="240" w:lineRule="auto"/>
        <w:jc w:val="both"/>
        <w:rPr>
          <w:rFonts w:ascii="Arial" w:hAnsi="Arial" w:cs="Arial"/>
        </w:rPr>
      </w:pPr>
      <w:r w:rsidRPr="00834E7E">
        <w:rPr>
          <w:rFonts w:ascii="Arial" w:hAnsi="Arial" w:cs="Arial"/>
        </w:rPr>
        <w:lastRenderedPageBreak/>
        <w:t>El concepto de propietario constituye el eje rector bajo el cual se analiza la procedencia o improcedencia de la acción adquisitiva por prescripción, pues únicamente la posesión originaria es apta para usucapir; por tanto, para la actualización de ese supuesto es indispensable que el poseedor del bien cuente con el derecho de disposición (</w:t>
      </w:r>
      <w:proofErr w:type="spellStart"/>
      <w:r w:rsidRPr="00834E7E">
        <w:rPr>
          <w:rFonts w:ascii="Arial" w:hAnsi="Arial" w:cs="Arial"/>
        </w:rPr>
        <w:t>ius</w:t>
      </w:r>
      <w:proofErr w:type="spellEnd"/>
      <w:r w:rsidRPr="00834E7E">
        <w:rPr>
          <w:rFonts w:ascii="Arial" w:hAnsi="Arial" w:cs="Arial"/>
        </w:rPr>
        <w:t xml:space="preserve"> </w:t>
      </w:r>
      <w:proofErr w:type="spellStart"/>
      <w:r w:rsidRPr="00834E7E">
        <w:rPr>
          <w:rFonts w:ascii="Arial" w:hAnsi="Arial" w:cs="Arial"/>
        </w:rPr>
        <w:t>abutendi</w:t>
      </w:r>
      <w:proofErr w:type="spellEnd"/>
      <w:r w:rsidRPr="00834E7E">
        <w:rPr>
          <w:rFonts w:ascii="Arial" w:hAnsi="Arial" w:cs="Arial"/>
        </w:rPr>
        <w:t>), el derecho de apropiarse de los frutos del bien (</w:t>
      </w:r>
      <w:proofErr w:type="spellStart"/>
      <w:r w:rsidRPr="00834E7E">
        <w:rPr>
          <w:rFonts w:ascii="Arial" w:hAnsi="Arial" w:cs="Arial"/>
        </w:rPr>
        <w:t>ius</w:t>
      </w:r>
      <w:proofErr w:type="spellEnd"/>
      <w:r w:rsidRPr="00834E7E">
        <w:rPr>
          <w:rFonts w:ascii="Arial" w:hAnsi="Arial" w:cs="Arial"/>
        </w:rPr>
        <w:t xml:space="preserve"> </w:t>
      </w:r>
      <w:proofErr w:type="spellStart"/>
      <w:r w:rsidRPr="00834E7E">
        <w:rPr>
          <w:rFonts w:ascii="Arial" w:hAnsi="Arial" w:cs="Arial"/>
        </w:rPr>
        <w:t>fruendi</w:t>
      </w:r>
      <w:proofErr w:type="spellEnd"/>
      <w:r w:rsidRPr="00834E7E">
        <w:rPr>
          <w:rFonts w:ascii="Arial" w:hAnsi="Arial" w:cs="Arial"/>
        </w:rPr>
        <w:t>) y el derecho de usar el bien (</w:t>
      </w:r>
      <w:proofErr w:type="spellStart"/>
      <w:r w:rsidRPr="00834E7E">
        <w:rPr>
          <w:rFonts w:ascii="Arial" w:hAnsi="Arial" w:cs="Arial"/>
        </w:rPr>
        <w:t>ius</w:t>
      </w:r>
      <w:proofErr w:type="spellEnd"/>
      <w:r w:rsidRPr="00834E7E">
        <w:rPr>
          <w:rFonts w:ascii="Arial" w:hAnsi="Arial" w:cs="Arial"/>
        </w:rPr>
        <w:t xml:space="preserve"> </w:t>
      </w:r>
      <w:proofErr w:type="spellStart"/>
      <w:r w:rsidRPr="00834E7E">
        <w:rPr>
          <w:rFonts w:ascii="Arial" w:hAnsi="Arial" w:cs="Arial"/>
        </w:rPr>
        <w:t>utendi</w:t>
      </w:r>
      <w:proofErr w:type="spellEnd"/>
      <w:r w:rsidRPr="00834E7E">
        <w:rPr>
          <w:rFonts w:ascii="Arial" w:hAnsi="Arial" w:cs="Arial"/>
        </w:rPr>
        <w:t>); es decir, que el propietario de la cosa se conduzca como el dueño y cuente con todos los derechos inherentes a ella. De ahí que si la posesión ejercida por una persona es originaria, a título de dueño y por el tiempo suficiente, de forma continua, pública y pacífica, es procedente la prescripción adquisitiva de mala fe del bien a su favor. En ese sentido, sólo debe acreditar la causa generadora de la posesión y que ésta sea apta para prescribir, por lo que necesariamente debe aportar una prueba objetiva con la cual revele el origen de ésta. Sin embargo, en caso de que dicha prueba consista en un contrato de compraventa, los vicios contenidos en dicho documento son menos trascendentes si se ejerce la prescripción adquisitiva por mala fe, esto, ya que al exigir la ley un lapso mayor para su procedencia (veinte años en términos del artículo 1185, fracción III, del Código Civil para el Estado de Veracruz), implica un desinterés prolongado y continuo del legítimo propietario para recuperar el bien. Por lo cual, la diferencia entre este tipo de prescripción adquisitiva y la ejercida de buena fe radica en el grado de perfección del justo título, toda vez que, en el segundo supuesto, al establecerse un lapso menor para su procedencia forzosamente requiere que la causa generadora sea lo más perfecta posible. En este contexto, si una persona suscribió un contrato de compraventa de un inmueble, se estima que dicha documental resulta apta para demostrar la posesión originaria del bien, porque implica su adquisición tanto jurídica como material, es decir, que el inmueble es adquirido de forma íntegra y completa con todos sus derechos y obligaciones; de ahí que si bien el carácter del vendedor del inmueble puede afectar la validez del contrato, eso no demerita la calidad de la posesión del comprador, ya que para ello debe anularse el título de mérito por la ausencia de las facultades del vendedor para transmitir el dominio del bien, vicio que acarrea su nulidad. No obstante, si eso no es demostrado en el juicio y el legítimo dueño del inmueble no hizo las gestiones necesarias para su recuperación en el tiempo que exige la ley para usucapir, entonces, procede la prescripción adquisitiva del bien, aun cuando la causa generadora de la posesión presente vicios, como lo es la falta de facultades del vendedor para transmitir la propiedad del inmueble.</w:t>
      </w:r>
    </w:p>
    <w:p w:rsidR="00834E7E" w:rsidRPr="00834E7E" w:rsidRDefault="00834E7E" w:rsidP="00834E7E">
      <w:pPr>
        <w:spacing w:after="0" w:line="240" w:lineRule="auto"/>
        <w:jc w:val="both"/>
        <w:rPr>
          <w:rFonts w:ascii="Arial" w:hAnsi="Arial" w:cs="Arial"/>
        </w:rPr>
      </w:pPr>
    </w:p>
    <w:p w:rsidR="00834E7E" w:rsidRPr="00834E7E" w:rsidRDefault="00834E7E" w:rsidP="00834E7E">
      <w:pPr>
        <w:spacing w:after="0" w:line="240" w:lineRule="auto"/>
        <w:jc w:val="both"/>
        <w:rPr>
          <w:rFonts w:ascii="Arial" w:hAnsi="Arial" w:cs="Arial"/>
        </w:rPr>
      </w:pPr>
      <w:r w:rsidRPr="00834E7E">
        <w:rPr>
          <w:rFonts w:ascii="Arial" w:hAnsi="Arial" w:cs="Arial"/>
        </w:rPr>
        <w:t>SEGUNDO TRIBUNAL COLEGIADO EN MATERIA CIVIL DEL SÉPTIMO CIRCUITO.</w:t>
      </w:r>
    </w:p>
    <w:p w:rsidR="00834E7E" w:rsidRPr="00834E7E" w:rsidRDefault="00834E7E" w:rsidP="00834E7E">
      <w:pPr>
        <w:spacing w:after="0" w:line="240" w:lineRule="auto"/>
        <w:jc w:val="both"/>
        <w:rPr>
          <w:rFonts w:ascii="Arial" w:hAnsi="Arial" w:cs="Arial"/>
        </w:rPr>
      </w:pPr>
    </w:p>
    <w:p w:rsidR="00834E7E" w:rsidRPr="00834E7E" w:rsidRDefault="00834E7E" w:rsidP="00834E7E">
      <w:pPr>
        <w:spacing w:after="0" w:line="240" w:lineRule="auto"/>
        <w:jc w:val="both"/>
        <w:rPr>
          <w:rFonts w:ascii="Arial" w:hAnsi="Arial" w:cs="Arial"/>
        </w:rPr>
      </w:pPr>
      <w:r w:rsidRPr="00834E7E">
        <w:rPr>
          <w:rFonts w:ascii="Arial" w:hAnsi="Arial" w:cs="Arial"/>
        </w:rPr>
        <w:t xml:space="preserve">Amparo directo 335/2019. Rufina </w:t>
      </w:r>
      <w:proofErr w:type="spellStart"/>
      <w:r w:rsidRPr="00834E7E">
        <w:rPr>
          <w:rFonts w:ascii="Arial" w:hAnsi="Arial" w:cs="Arial"/>
        </w:rPr>
        <w:t>Sanchez</w:t>
      </w:r>
      <w:proofErr w:type="spellEnd"/>
      <w:r w:rsidRPr="00834E7E">
        <w:rPr>
          <w:rFonts w:ascii="Arial" w:hAnsi="Arial" w:cs="Arial"/>
        </w:rPr>
        <w:t xml:space="preserve"> Badillo. 22 de noviembre de 2019. Unanimidad de votos. Ponente: Lucio Huesca Ballesteros, secretario de tribunal </w:t>
      </w:r>
      <w:r w:rsidRPr="00834E7E">
        <w:rPr>
          <w:rFonts w:ascii="Arial" w:hAnsi="Arial" w:cs="Arial"/>
        </w:rPr>
        <w:lastRenderedPageBreak/>
        <w:t xml:space="preserve">autorizado por la Comisión de Carrera Judicial del Consejo de la Judicatura Federal para desempeñar las funciones de Magistrado, en términos de los artículos 26, párrafo segundo y 81, fracción XXII, de la Ley Orgánica del Poder Judicial de la Federación, en relación con el diverso 40, fracción V, del Acuerdo General del Pleno del Consejo de la Judicatura Federal, que reglamenta la organización y funcionamiento del propio Consejo; y reforma y deroga disposiciones de otros acuerdos generales. Secretaria: Rubí </w:t>
      </w:r>
      <w:proofErr w:type="spellStart"/>
      <w:r w:rsidRPr="00834E7E">
        <w:rPr>
          <w:rFonts w:ascii="Arial" w:hAnsi="Arial" w:cs="Arial"/>
        </w:rPr>
        <w:t>Sindirely</w:t>
      </w:r>
      <w:proofErr w:type="spellEnd"/>
      <w:r w:rsidRPr="00834E7E">
        <w:rPr>
          <w:rFonts w:ascii="Arial" w:hAnsi="Arial" w:cs="Arial"/>
        </w:rPr>
        <w:t xml:space="preserve"> Aguilar </w:t>
      </w:r>
      <w:proofErr w:type="spellStart"/>
      <w:r w:rsidRPr="00834E7E">
        <w:rPr>
          <w:rFonts w:ascii="Arial" w:hAnsi="Arial" w:cs="Arial"/>
        </w:rPr>
        <w:t>Lasserre</w:t>
      </w:r>
      <w:proofErr w:type="spellEnd"/>
      <w:r w:rsidRPr="00834E7E">
        <w:rPr>
          <w:rFonts w:ascii="Arial" w:hAnsi="Arial" w:cs="Arial"/>
        </w:rPr>
        <w:t>.</w:t>
      </w:r>
    </w:p>
    <w:p w:rsidR="00834E7E" w:rsidRPr="00834E7E" w:rsidRDefault="00834E7E" w:rsidP="00834E7E">
      <w:pPr>
        <w:spacing w:after="0" w:line="240" w:lineRule="auto"/>
        <w:jc w:val="both"/>
        <w:rPr>
          <w:rFonts w:ascii="Arial" w:hAnsi="Arial" w:cs="Arial"/>
        </w:rPr>
      </w:pPr>
    </w:p>
    <w:p w:rsidR="00834E7E" w:rsidRDefault="00834E7E" w:rsidP="000B1C47">
      <w:pPr>
        <w:spacing w:after="0" w:line="240" w:lineRule="auto"/>
        <w:jc w:val="both"/>
        <w:rPr>
          <w:rFonts w:ascii="Arial" w:hAnsi="Arial" w:cs="Arial"/>
        </w:rPr>
      </w:pPr>
    </w:p>
    <w:p w:rsidR="008A58E2" w:rsidRPr="008A58E2" w:rsidRDefault="00EF7399" w:rsidP="008A58E2">
      <w:pPr>
        <w:spacing w:after="0" w:line="240" w:lineRule="auto"/>
        <w:jc w:val="both"/>
        <w:rPr>
          <w:rFonts w:ascii="Arial" w:hAnsi="Arial" w:cs="Arial"/>
        </w:rPr>
      </w:pPr>
      <w:r>
        <w:rPr>
          <w:rFonts w:ascii="Arial" w:hAnsi="Arial" w:cs="Arial"/>
        </w:rPr>
        <w:t xml:space="preserve">3. </w:t>
      </w:r>
      <w:r w:rsidR="008A58E2" w:rsidRPr="008A58E2">
        <w:rPr>
          <w:rFonts w:ascii="Arial" w:hAnsi="Arial" w:cs="Arial"/>
        </w:rPr>
        <w:t xml:space="preserve">Época: Décima Época </w:t>
      </w:r>
    </w:p>
    <w:p w:rsidR="008A58E2" w:rsidRPr="008A58E2" w:rsidRDefault="008A58E2" w:rsidP="008A58E2">
      <w:pPr>
        <w:spacing w:after="0" w:line="240" w:lineRule="auto"/>
        <w:jc w:val="both"/>
        <w:rPr>
          <w:rFonts w:ascii="Arial" w:hAnsi="Arial" w:cs="Arial"/>
        </w:rPr>
      </w:pPr>
      <w:r w:rsidRPr="008A58E2">
        <w:rPr>
          <w:rFonts w:ascii="Arial" w:hAnsi="Arial" w:cs="Arial"/>
        </w:rPr>
        <w:t xml:space="preserve">Registro: 2021535 </w:t>
      </w:r>
    </w:p>
    <w:p w:rsidR="008A58E2" w:rsidRPr="008A58E2" w:rsidRDefault="008A58E2" w:rsidP="008A58E2">
      <w:pPr>
        <w:spacing w:after="0" w:line="240" w:lineRule="auto"/>
        <w:jc w:val="both"/>
        <w:rPr>
          <w:rFonts w:ascii="Arial" w:hAnsi="Arial" w:cs="Arial"/>
        </w:rPr>
      </w:pPr>
      <w:r w:rsidRPr="008A58E2">
        <w:rPr>
          <w:rFonts w:ascii="Arial" w:hAnsi="Arial" w:cs="Arial"/>
        </w:rPr>
        <w:t xml:space="preserve">Instancia: Tribunales Colegiados de Circuito </w:t>
      </w:r>
    </w:p>
    <w:p w:rsidR="008A58E2" w:rsidRPr="008A58E2" w:rsidRDefault="008A58E2" w:rsidP="008A58E2">
      <w:pPr>
        <w:spacing w:after="0" w:line="240" w:lineRule="auto"/>
        <w:jc w:val="both"/>
        <w:rPr>
          <w:rFonts w:ascii="Arial" w:hAnsi="Arial" w:cs="Arial"/>
        </w:rPr>
      </w:pPr>
      <w:r w:rsidRPr="008A58E2">
        <w:rPr>
          <w:rFonts w:ascii="Arial" w:hAnsi="Arial" w:cs="Arial"/>
        </w:rPr>
        <w:t xml:space="preserve">Tipo de Tesis: Aislada </w:t>
      </w:r>
    </w:p>
    <w:p w:rsidR="008A58E2" w:rsidRPr="008A58E2" w:rsidRDefault="008A58E2" w:rsidP="008A58E2">
      <w:pPr>
        <w:spacing w:after="0" w:line="240" w:lineRule="auto"/>
        <w:jc w:val="both"/>
        <w:rPr>
          <w:rFonts w:ascii="Arial" w:hAnsi="Arial" w:cs="Arial"/>
        </w:rPr>
      </w:pPr>
      <w:r w:rsidRPr="008A58E2">
        <w:rPr>
          <w:rFonts w:ascii="Arial" w:hAnsi="Arial" w:cs="Arial"/>
        </w:rPr>
        <w:t xml:space="preserve">Fuente: Semanario Judicial de la Federación </w:t>
      </w:r>
    </w:p>
    <w:p w:rsidR="008A58E2" w:rsidRPr="008A58E2" w:rsidRDefault="008A58E2" w:rsidP="008A58E2">
      <w:pPr>
        <w:spacing w:after="0" w:line="240" w:lineRule="auto"/>
        <w:jc w:val="both"/>
        <w:rPr>
          <w:rFonts w:ascii="Arial" w:hAnsi="Arial" w:cs="Arial"/>
        </w:rPr>
      </w:pPr>
      <w:r w:rsidRPr="008A58E2">
        <w:rPr>
          <w:rFonts w:ascii="Arial" w:hAnsi="Arial" w:cs="Arial"/>
        </w:rPr>
        <w:t xml:space="preserve">Publicación: viernes 31 de enero de 2020 10:32 h </w:t>
      </w:r>
    </w:p>
    <w:p w:rsidR="008A58E2" w:rsidRPr="008A58E2" w:rsidRDefault="008A58E2" w:rsidP="008A58E2">
      <w:pPr>
        <w:spacing w:after="0" w:line="240" w:lineRule="auto"/>
        <w:jc w:val="both"/>
        <w:rPr>
          <w:rFonts w:ascii="Arial" w:hAnsi="Arial" w:cs="Arial"/>
        </w:rPr>
      </w:pPr>
      <w:r w:rsidRPr="008A58E2">
        <w:rPr>
          <w:rFonts w:ascii="Arial" w:hAnsi="Arial" w:cs="Arial"/>
        </w:rPr>
        <w:t xml:space="preserve">Materia(s): (Civil) </w:t>
      </w:r>
    </w:p>
    <w:p w:rsidR="008A58E2" w:rsidRPr="008A58E2" w:rsidRDefault="008A58E2" w:rsidP="008A58E2">
      <w:pPr>
        <w:spacing w:after="0" w:line="240" w:lineRule="auto"/>
        <w:jc w:val="both"/>
        <w:rPr>
          <w:rFonts w:ascii="Arial" w:hAnsi="Arial" w:cs="Arial"/>
        </w:rPr>
      </w:pPr>
      <w:r w:rsidRPr="008A58E2">
        <w:rPr>
          <w:rFonts w:ascii="Arial" w:hAnsi="Arial" w:cs="Arial"/>
        </w:rPr>
        <w:t xml:space="preserve">Tesis: I.3o.C.426 C (10a.) </w:t>
      </w:r>
    </w:p>
    <w:p w:rsidR="008A58E2" w:rsidRPr="008A58E2" w:rsidRDefault="008A58E2" w:rsidP="008A58E2">
      <w:pPr>
        <w:spacing w:after="0" w:line="240" w:lineRule="auto"/>
        <w:jc w:val="both"/>
        <w:rPr>
          <w:rFonts w:ascii="Arial" w:hAnsi="Arial" w:cs="Arial"/>
        </w:rPr>
      </w:pPr>
    </w:p>
    <w:p w:rsidR="008A58E2" w:rsidRPr="00EF7399" w:rsidRDefault="008A58E2" w:rsidP="00EF7399">
      <w:pPr>
        <w:pStyle w:val="Ttulo2"/>
        <w:jc w:val="both"/>
        <w:rPr>
          <w:rFonts w:ascii="Arial" w:hAnsi="Arial" w:cs="Arial"/>
          <w:color w:val="B35E06" w:themeColor="accent1" w:themeShade="BF"/>
          <w:sz w:val="26"/>
          <w:szCs w:val="26"/>
        </w:rPr>
      </w:pPr>
      <w:bookmarkStart w:id="4" w:name="_Toc31722761"/>
      <w:r w:rsidRPr="00EF7399">
        <w:rPr>
          <w:rFonts w:ascii="Arial" w:hAnsi="Arial" w:cs="Arial"/>
          <w:color w:val="B35E06" w:themeColor="accent1" w:themeShade="BF"/>
          <w:sz w:val="26"/>
          <w:szCs w:val="26"/>
        </w:rPr>
        <w:t>MECANISMOS ALTERNATIVOS DE SOLUCIÓN DE CONTROVERSIAS EN MATERIA DE PROTECCIÓN AL CONSUMIDOR. SI LAS PARTES PACTAN QUE DEBEN AGOTARSE ANTES DE ACUDIR A LOS TRIBUNALES COMPETENTES, DEBE PREVALECER EL ACUERDO DE VOLUNTADES.</w:t>
      </w:r>
      <w:bookmarkEnd w:id="4"/>
    </w:p>
    <w:p w:rsidR="008A58E2" w:rsidRPr="008A58E2" w:rsidRDefault="008A58E2" w:rsidP="008A58E2">
      <w:pPr>
        <w:spacing w:after="0" w:line="240" w:lineRule="auto"/>
        <w:jc w:val="both"/>
        <w:rPr>
          <w:rFonts w:ascii="Arial" w:hAnsi="Arial" w:cs="Arial"/>
        </w:rPr>
      </w:pPr>
    </w:p>
    <w:p w:rsidR="008A58E2" w:rsidRPr="008A58E2" w:rsidRDefault="008A58E2" w:rsidP="008A58E2">
      <w:pPr>
        <w:spacing w:after="0" w:line="240" w:lineRule="auto"/>
        <w:jc w:val="both"/>
        <w:rPr>
          <w:rFonts w:ascii="Arial" w:hAnsi="Arial" w:cs="Arial"/>
        </w:rPr>
      </w:pPr>
      <w:r w:rsidRPr="008A58E2">
        <w:rPr>
          <w:rFonts w:ascii="Arial" w:hAnsi="Arial" w:cs="Arial"/>
        </w:rPr>
        <w:t xml:space="preserve">El acceso a los medios alternativos de justicia constituye un derecho humano reconocido por el artículo 17 de la Constitución Política de los Estados Unidos Mexicanos; por ello, es obligación de los impartidores de justicia promover y hacer extensivo el uso de dichos medios a la ciudadanía, sobre todo ante su éxito potencial en la solución de determinados conflictos en donde cobra especial notoriedad la reconstrucción de las relaciones interpersonales, buscando siempre razonamientos de equidad y pretendiendo en todo momento restituir la paz social de manera rápida y eficaz. Atento a ello, las partes pueden acordar en el contrato basal que se someterán a la competencia de la Procuraduría Federal del Consumidor para la solución de los conflictos surgidos del propio contrato, que cuenta con el arbitraje como mecanismo de solución de conflictos, que es un procedimiento </w:t>
      </w:r>
      <w:proofErr w:type="spellStart"/>
      <w:r w:rsidRPr="008A58E2">
        <w:rPr>
          <w:rFonts w:ascii="Arial" w:hAnsi="Arial" w:cs="Arial"/>
        </w:rPr>
        <w:t>heterocompositivo</w:t>
      </w:r>
      <w:proofErr w:type="spellEnd"/>
      <w:r w:rsidRPr="008A58E2">
        <w:rPr>
          <w:rFonts w:ascii="Arial" w:hAnsi="Arial" w:cs="Arial"/>
        </w:rPr>
        <w:t xml:space="preserve"> en virtud del cual las partes acuerdan someter a la decisión de un tercero, neutral y experto en la materia, la solución de una controversia presente o futura. Ello constituye una decisión que debe acatarse, ya que la voluntad de las partes es la suprema </w:t>
      </w:r>
      <w:r w:rsidRPr="008A58E2">
        <w:rPr>
          <w:rFonts w:ascii="Arial" w:hAnsi="Arial" w:cs="Arial"/>
        </w:rPr>
        <w:lastRenderedPageBreak/>
        <w:t>ley en los contratos. De modo que, ante tal acuerdo de voluntades y considerando que es obligación de los impartidores de justicia promover y hacer extensivo el uso de los mecanismos alternativos de solución de controversias, es inconcuso que primero debe acudirse ante dicha Procuraduría para efectuar el reclamo, y de no poder solucionarse ante ella, recurrir ante los tribunales competentes. Por tanto, dejar de cumplir lo pactado implicaría limitar a una de las partes el derecho de acudir ante la Procuraduría citada, como medio alternativo de justicia, a iniciar un procedimiento que resulta más ágil y tiene sustento constitucional.</w:t>
      </w:r>
    </w:p>
    <w:p w:rsidR="008A58E2" w:rsidRPr="008A58E2" w:rsidRDefault="008A58E2" w:rsidP="008A58E2">
      <w:pPr>
        <w:spacing w:after="0" w:line="240" w:lineRule="auto"/>
        <w:jc w:val="both"/>
        <w:rPr>
          <w:rFonts w:ascii="Arial" w:hAnsi="Arial" w:cs="Arial"/>
        </w:rPr>
      </w:pPr>
    </w:p>
    <w:p w:rsidR="008A58E2" w:rsidRPr="008A58E2" w:rsidRDefault="008A58E2" w:rsidP="008A58E2">
      <w:pPr>
        <w:spacing w:after="0" w:line="240" w:lineRule="auto"/>
        <w:jc w:val="both"/>
        <w:rPr>
          <w:rFonts w:ascii="Arial" w:hAnsi="Arial" w:cs="Arial"/>
        </w:rPr>
      </w:pPr>
      <w:r w:rsidRPr="008A58E2">
        <w:rPr>
          <w:rFonts w:ascii="Arial" w:hAnsi="Arial" w:cs="Arial"/>
        </w:rPr>
        <w:t>TERCER TRIBUNAL COLEGIADO EN MATERIA CIVIL DEL PRIMER CIRCUITO.</w:t>
      </w:r>
    </w:p>
    <w:p w:rsidR="008A58E2" w:rsidRPr="008A58E2" w:rsidRDefault="008A58E2" w:rsidP="008A58E2">
      <w:pPr>
        <w:spacing w:after="0" w:line="240" w:lineRule="auto"/>
        <w:jc w:val="both"/>
        <w:rPr>
          <w:rFonts w:ascii="Arial" w:hAnsi="Arial" w:cs="Arial"/>
        </w:rPr>
      </w:pPr>
    </w:p>
    <w:p w:rsidR="008A58E2" w:rsidRPr="008A58E2" w:rsidRDefault="008A58E2" w:rsidP="008A58E2">
      <w:pPr>
        <w:spacing w:after="0" w:line="240" w:lineRule="auto"/>
        <w:jc w:val="both"/>
        <w:rPr>
          <w:rFonts w:ascii="Arial" w:hAnsi="Arial" w:cs="Arial"/>
        </w:rPr>
      </w:pPr>
      <w:r w:rsidRPr="008A58E2">
        <w:rPr>
          <w:rFonts w:ascii="Arial" w:hAnsi="Arial" w:cs="Arial"/>
        </w:rPr>
        <w:t>Amparo directo 474/2019. Seguridad Privada Independencia, S.A. de C.V. 14 de agosto de 2019. Unanimidad de votos. Ponente: Paula María García Villegas Sánchez Cordero. Secretaria: María Alejandra Suárez Morales.</w:t>
      </w:r>
    </w:p>
    <w:p w:rsidR="008A58E2" w:rsidRPr="008A58E2" w:rsidRDefault="008A58E2" w:rsidP="008A58E2">
      <w:pPr>
        <w:spacing w:after="0" w:line="240" w:lineRule="auto"/>
        <w:jc w:val="both"/>
        <w:rPr>
          <w:rFonts w:ascii="Arial" w:hAnsi="Arial" w:cs="Arial"/>
        </w:rPr>
      </w:pPr>
    </w:p>
    <w:p w:rsidR="008A58E2" w:rsidRPr="008A58E2" w:rsidRDefault="008A58E2" w:rsidP="008A58E2">
      <w:pPr>
        <w:spacing w:after="0" w:line="240" w:lineRule="auto"/>
        <w:jc w:val="both"/>
        <w:rPr>
          <w:rFonts w:ascii="Arial" w:hAnsi="Arial" w:cs="Arial"/>
        </w:rPr>
      </w:pPr>
      <w:r w:rsidRPr="008A58E2">
        <w:rPr>
          <w:rFonts w:ascii="Arial" w:hAnsi="Arial" w:cs="Arial"/>
        </w:rPr>
        <w:t xml:space="preserve">Amparo directo 829/2019. Pegaso </w:t>
      </w:r>
      <w:proofErr w:type="spellStart"/>
      <w:r w:rsidRPr="008A58E2">
        <w:rPr>
          <w:rFonts w:ascii="Arial" w:hAnsi="Arial" w:cs="Arial"/>
        </w:rPr>
        <w:t>PCS</w:t>
      </w:r>
      <w:proofErr w:type="spellEnd"/>
      <w:r w:rsidRPr="008A58E2">
        <w:rPr>
          <w:rFonts w:ascii="Arial" w:hAnsi="Arial" w:cs="Arial"/>
        </w:rPr>
        <w:t>, S.A. de C.V. 21 de noviembre de 2019. Unanimidad de votos. Ponente: Paula María García Villegas Sánchez Cordero. Secretaria: Cinthia Monserrat Ortega Mondragón.</w:t>
      </w:r>
    </w:p>
    <w:p w:rsidR="008A58E2" w:rsidRPr="008A58E2" w:rsidRDefault="008A58E2" w:rsidP="008A58E2">
      <w:pPr>
        <w:spacing w:after="0" w:line="240" w:lineRule="auto"/>
        <w:jc w:val="both"/>
        <w:rPr>
          <w:rFonts w:ascii="Arial" w:hAnsi="Arial" w:cs="Arial"/>
        </w:rPr>
      </w:pPr>
    </w:p>
    <w:p w:rsidR="008A58E2" w:rsidRPr="008A58E2" w:rsidRDefault="008A58E2" w:rsidP="008A58E2">
      <w:pPr>
        <w:spacing w:after="0" w:line="240" w:lineRule="auto"/>
        <w:jc w:val="both"/>
        <w:rPr>
          <w:rFonts w:ascii="Arial" w:hAnsi="Arial" w:cs="Arial"/>
        </w:rPr>
      </w:pPr>
      <w:r w:rsidRPr="008A58E2">
        <w:rPr>
          <w:rFonts w:ascii="Arial" w:hAnsi="Arial" w:cs="Arial"/>
        </w:rPr>
        <w:t xml:space="preserve">Amparo directo 879/2019. Pegaso </w:t>
      </w:r>
      <w:proofErr w:type="spellStart"/>
      <w:r w:rsidRPr="008A58E2">
        <w:rPr>
          <w:rFonts w:ascii="Arial" w:hAnsi="Arial" w:cs="Arial"/>
        </w:rPr>
        <w:t>PCS</w:t>
      </w:r>
      <w:proofErr w:type="spellEnd"/>
      <w:r w:rsidRPr="008A58E2">
        <w:rPr>
          <w:rFonts w:ascii="Arial" w:hAnsi="Arial" w:cs="Arial"/>
        </w:rPr>
        <w:t>, S.A. de C.V. 4 de diciembre de 2019. Unanimidad de votos. Ponente: Sofía Verónica Ávalos Díaz. Secretario: Víctor Hugo Solano Vera.</w:t>
      </w:r>
    </w:p>
    <w:p w:rsidR="008A58E2" w:rsidRPr="008A58E2" w:rsidRDefault="008A58E2" w:rsidP="008A58E2">
      <w:pPr>
        <w:spacing w:after="0" w:line="240" w:lineRule="auto"/>
        <w:jc w:val="both"/>
        <w:rPr>
          <w:rFonts w:ascii="Arial" w:hAnsi="Arial" w:cs="Arial"/>
        </w:rPr>
      </w:pPr>
    </w:p>
    <w:p w:rsidR="008A58E2" w:rsidRDefault="008A58E2" w:rsidP="000B1C47">
      <w:pPr>
        <w:spacing w:after="0" w:line="240" w:lineRule="auto"/>
        <w:jc w:val="both"/>
        <w:rPr>
          <w:rFonts w:ascii="Arial" w:hAnsi="Arial" w:cs="Arial"/>
        </w:rPr>
      </w:pPr>
    </w:p>
    <w:p w:rsidR="003D086D" w:rsidRPr="003D086D" w:rsidRDefault="00EF7399" w:rsidP="003D086D">
      <w:pPr>
        <w:spacing w:after="0" w:line="240" w:lineRule="auto"/>
        <w:jc w:val="both"/>
        <w:rPr>
          <w:rFonts w:ascii="Arial" w:hAnsi="Arial" w:cs="Arial"/>
        </w:rPr>
      </w:pPr>
      <w:r>
        <w:rPr>
          <w:rFonts w:ascii="Arial" w:hAnsi="Arial" w:cs="Arial"/>
        </w:rPr>
        <w:t xml:space="preserve">4. </w:t>
      </w:r>
      <w:r w:rsidR="003D086D" w:rsidRPr="003D086D">
        <w:rPr>
          <w:rFonts w:ascii="Arial" w:hAnsi="Arial" w:cs="Arial"/>
        </w:rPr>
        <w:t xml:space="preserve">Época: Décima Época </w:t>
      </w:r>
    </w:p>
    <w:p w:rsidR="003D086D" w:rsidRPr="003D086D" w:rsidRDefault="003D086D" w:rsidP="003D086D">
      <w:pPr>
        <w:spacing w:after="0" w:line="240" w:lineRule="auto"/>
        <w:jc w:val="both"/>
        <w:rPr>
          <w:rFonts w:ascii="Arial" w:hAnsi="Arial" w:cs="Arial"/>
        </w:rPr>
      </w:pPr>
      <w:r w:rsidRPr="003D086D">
        <w:rPr>
          <w:rFonts w:ascii="Arial" w:hAnsi="Arial" w:cs="Arial"/>
        </w:rPr>
        <w:t xml:space="preserve">Registro: 2021534 </w:t>
      </w:r>
    </w:p>
    <w:p w:rsidR="003D086D" w:rsidRPr="003D086D" w:rsidRDefault="003D086D" w:rsidP="003D086D">
      <w:pPr>
        <w:spacing w:after="0" w:line="240" w:lineRule="auto"/>
        <w:jc w:val="both"/>
        <w:rPr>
          <w:rFonts w:ascii="Arial" w:hAnsi="Arial" w:cs="Arial"/>
        </w:rPr>
      </w:pPr>
      <w:r w:rsidRPr="003D086D">
        <w:rPr>
          <w:rFonts w:ascii="Arial" w:hAnsi="Arial" w:cs="Arial"/>
        </w:rPr>
        <w:t xml:space="preserve">Instancia: Tribunales Colegiados de Circuito </w:t>
      </w:r>
    </w:p>
    <w:p w:rsidR="003D086D" w:rsidRPr="003D086D" w:rsidRDefault="003D086D" w:rsidP="003D086D">
      <w:pPr>
        <w:spacing w:after="0" w:line="240" w:lineRule="auto"/>
        <w:jc w:val="both"/>
        <w:rPr>
          <w:rFonts w:ascii="Arial" w:hAnsi="Arial" w:cs="Arial"/>
        </w:rPr>
      </w:pPr>
      <w:r w:rsidRPr="003D086D">
        <w:rPr>
          <w:rFonts w:ascii="Arial" w:hAnsi="Arial" w:cs="Arial"/>
        </w:rPr>
        <w:t xml:space="preserve">Tipo de Tesis: Aislada </w:t>
      </w:r>
    </w:p>
    <w:p w:rsidR="003D086D" w:rsidRPr="003D086D" w:rsidRDefault="003D086D" w:rsidP="003D086D">
      <w:pPr>
        <w:spacing w:after="0" w:line="240" w:lineRule="auto"/>
        <w:jc w:val="both"/>
        <w:rPr>
          <w:rFonts w:ascii="Arial" w:hAnsi="Arial" w:cs="Arial"/>
        </w:rPr>
      </w:pPr>
      <w:r w:rsidRPr="003D086D">
        <w:rPr>
          <w:rFonts w:ascii="Arial" w:hAnsi="Arial" w:cs="Arial"/>
        </w:rPr>
        <w:t xml:space="preserve">Fuente: Semanario Judicial de la Federación </w:t>
      </w:r>
    </w:p>
    <w:p w:rsidR="003D086D" w:rsidRPr="003D086D" w:rsidRDefault="003D086D" w:rsidP="003D086D">
      <w:pPr>
        <w:spacing w:after="0" w:line="240" w:lineRule="auto"/>
        <w:jc w:val="both"/>
        <w:rPr>
          <w:rFonts w:ascii="Arial" w:hAnsi="Arial" w:cs="Arial"/>
        </w:rPr>
      </w:pPr>
      <w:r w:rsidRPr="003D086D">
        <w:rPr>
          <w:rFonts w:ascii="Arial" w:hAnsi="Arial" w:cs="Arial"/>
        </w:rPr>
        <w:t xml:space="preserve">Publicación: viernes 31 de enero de 2020 10:32 h </w:t>
      </w:r>
    </w:p>
    <w:p w:rsidR="003D086D" w:rsidRPr="003D086D" w:rsidRDefault="003D086D" w:rsidP="003D086D">
      <w:pPr>
        <w:spacing w:after="0" w:line="240" w:lineRule="auto"/>
        <w:jc w:val="both"/>
        <w:rPr>
          <w:rFonts w:ascii="Arial" w:hAnsi="Arial" w:cs="Arial"/>
        </w:rPr>
      </w:pPr>
      <w:r w:rsidRPr="003D086D">
        <w:rPr>
          <w:rFonts w:ascii="Arial" w:hAnsi="Arial" w:cs="Arial"/>
        </w:rPr>
        <w:t xml:space="preserve">Materia(s): (Constitucional, Civil) </w:t>
      </w:r>
    </w:p>
    <w:p w:rsidR="003D086D" w:rsidRPr="003D086D" w:rsidRDefault="003D086D" w:rsidP="003D086D">
      <w:pPr>
        <w:spacing w:after="0" w:line="240" w:lineRule="auto"/>
        <w:jc w:val="both"/>
        <w:rPr>
          <w:rFonts w:ascii="Arial" w:hAnsi="Arial" w:cs="Arial"/>
        </w:rPr>
      </w:pPr>
      <w:r w:rsidRPr="003D086D">
        <w:rPr>
          <w:rFonts w:ascii="Arial" w:hAnsi="Arial" w:cs="Arial"/>
        </w:rPr>
        <w:t xml:space="preserve">Tesis: I.3o.C.427 C (10a.) </w:t>
      </w:r>
    </w:p>
    <w:p w:rsidR="003D086D" w:rsidRPr="003D086D" w:rsidRDefault="003D086D" w:rsidP="003D086D">
      <w:pPr>
        <w:spacing w:after="0" w:line="240" w:lineRule="auto"/>
        <w:jc w:val="both"/>
        <w:rPr>
          <w:rFonts w:ascii="Arial" w:hAnsi="Arial" w:cs="Arial"/>
        </w:rPr>
      </w:pPr>
    </w:p>
    <w:p w:rsidR="003D086D" w:rsidRPr="00EF7399" w:rsidRDefault="003D086D" w:rsidP="00EF7399">
      <w:pPr>
        <w:pStyle w:val="Ttulo2"/>
        <w:jc w:val="both"/>
        <w:rPr>
          <w:rFonts w:ascii="Arial" w:hAnsi="Arial" w:cs="Arial"/>
          <w:color w:val="B35E06" w:themeColor="accent1" w:themeShade="BF"/>
          <w:sz w:val="26"/>
          <w:szCs w:val="26"/>
        </w:rPr>
      </w:pPr>
      <w:bookmarkStart w:id="5" w:name="_Toc31722762"/>
      <w:r w:rsidRPr="00EF7399">
        <w:rPr>
          <w:rFonts w:ascii="Arial" w:hAnsi="Arial" w:cs="Arial"/>
          <w:color w:val="B35E06" w:themeColor="accent1" w:themeShade="BF"/>
          <w:sz w:val="26"/>
          <w:szCs w:val="26"/>
        </w:rPr>
        <w:t>MECANISMOS ALTERNATIVOS DE SOLUCIÓN DE CONTROVERSIAS EN MATERIA CIVIL. SI UNA DE LAS PARTES NO ACUDE A ELLOS A PESAR DE HABER SIDO NOTIFICADA DE SU INICIACIÓN, ESTO NO SIGNIFICA LA PÉRDIDA DEL DERECHO DE ACUDIR A LA JUSTICIA FORMAL.</w:t>
      </w:r>
      <w:bookmarkEnd w:id="5"/>
    </w:p>
    <w:p w:rsidR="003D086D" w:rsidRPr="003D086D" w:rsidRDefault="003D086D" w:rsidP="003D086D">
      <w:pPr>
        <w:spacing w:after="0" w:line="240" w:lineRule="auto"/>
        <w:jc w:val="both"/>
        <w:rPr>
          <w:rFonts w:ascii="Arial" w:hAnsi="Arial" w:cs="Arial"/>
        </w:rPr>
      </w:pPr>
    </w:p>
    <w:p w:rsidR="003D086D" w:rsidRPr="003D086D" w:rsidRDefault="003D086D" w:rsidP="003D086D">
      <w:pPr>
        <w:spacing w:after="0" w:line="240" w:lineRule="auto"/>
        <w:jc w:val="both"/>
        <w:rPr>
          <w:rFonts w:ascii="Arial" w:hAnsi="Arial" w:cs="Arial"/>
        </w:rPr>
      </w:pPr>
      <w:r w:rsidRPr="003D086D">
        <w:rPr>
          <w:rFonts w:ascii="Arial" w:hAnsi="Arial" w:cs="Arial"/>
        </w:rPr>
        <w:lastRenderedPageBreak/>
        <w:t>La Declaración Universal de Derechos Humanos posee un conjunto de características exclusivas, entre las que se encuentra la relativa a que los derechos humanos son irrenunciables e inalienables, dado que ninguna persona puede renunciar a ellos ni transferirlos. En ese sentido, si bien es cierto que el acceso a los medios alternativos de justicia constituye un derecho humano, también lo es que si al iniciar un medio alternativo de solución de controversias, una de las partes no quiere seguir en sus términos el procedimiento, ello no implica que no pueda acceder a la justicia formal. Ello, porque el artículo 17, segundo párrafo, de la Constitución Política de los Estados Unidos Mexicanos establece que toda persona tiene derecho a que se le administre justicia por tribunales que estarán expeditos para impartirla en los plazos y términos que fijen las leyes, emitiendo sus resoluciones de manera pronta, completa e imparcial, además de que su servicio será gratuito y prohibidas las costas judiciales. De modo que, atento al derecho constitucional de acceso a la impartición de justicia por tribunales previamente establecidos, cuando se elige para la solución de un conflicto de naturaleza civil un medio alternativo y una de las partes no acude al mismo, a pesar de haber sido notificada de su iniciación, no puede significar la pérdida del derecho de acudir a la justicia formal, ya que es de igual forma un derecho humano; por tanto, de no prosperar el medio alternativo de solución de controversias, ello no significa que se pueda cerrar la puerta de la justicia formal, pues su acceso constituye un derecho fundamental, en tanto que uno de los principios rectores de los mecanismos alternativos de solución de controversias es la autonomía de la voluntad, la cual debe considerarse hasta el momento en que una de las partes se somete a la justicia alternativa.</w:t>
      </w:r>
    </w:p>
    <w:p w:rsidR="003D086D" w:rsidRPr="003D086D" w:rsidRDefault="003D086D" w:rsidP="003D086D">
      <w:pPr>
        <w:spacing w:after="0" w:line="240" w:lineRule="auto"/>
        <w:jc w:val="both"/>
        <w:rPr>
          <w:rFonts w:ascii="Arial" w:hAnsi="Arial" w:cs="Arial"/>
        </w:rPr>
      </w:pPr>
    </w:p>
    <w:p w:rsidR="003D086D" w:rsidRPr="003D086D" w:rsidRDefault="003D086D" w:rsidP="003D086D">
      <w:pPr>
        <w:spacing w:after="0" w:line="240" w:lineRule="auto"/>
        <w:jc w:val="both"/>
        <w:rPr>
          <w:rFonts w:ascii="Arial" w:hAnsi="Arial" w:cs="Arial"/>
        </w:rPr>
      </w:pPr>
      <w:r w:rsidRPr="003D086D">
        <w:rPr>
          <w:rFonts w:ascii="Arial" w:hAnsi="Arial" w:cs="Arial"/>
        </w:rPr>
        <w:t>TERCER TRIBUNAL COLEGIADO EN MATERIA CIVIL DEL PRIMER CIRCUITO.</w:t>
      </w:r>
    </w:p>
    <w:p w:rsidR="003D086D" w:rsidRPr="003D086D" w:rsidRDefault="003D086D" w:rsidP="003D086D">
      <w:pPr>
        <w:spacing w:after="0" w:line="240" w:lineRule="auto"/>
        <w:jc w:val="both"/>
        <w:rPr>
          <w:rFonts w:ascii="Arial" w:hAnsi="Arial" w:cs="Arial"/>
        </w:rPr>
      </w:pPr>
    </w:p>
    <w:p w:rsidR="003D086D" w:rsidRPr="003D086D" w:rsidRDefault="003D086D" w:rsidP="003D086D">
      <w:pPr>
        <w:spacing w:after="0" w:line="240" w:lineRule="auto"/>
        <w:jc w:val="both"/>
        <w:rPr>
          <w:rFonts w:ascii="Arial" w:hAnsi="Arial" w:cs="Arial"/>
        </w:rPr>
      </w:pPr>
      <w:r w:rsidRPr="003D086D">
        <w:rPr>
          <w:rFonts w:ascii="Arial" w:hAnsi="Arial" w:cs="Arial"/>
        </w:rPr>
        <w:t>Amparo directo 474/2019. Seguridad Privada Independencia, S.A. de C.V. 14 de agosto de 2019. Unanimidad de votos. Ponente: Paula María García Villegas Sánchez Cordero. Secretaria: María Alejandra Suárez Morales.</w:t>
      </w:r>
    </w:p>
    <w:p w:rsidR="003D086D" w:rsidRPr="003D086D" w:rsidRDefault="003D086D" w:rsidP="003D086D">
      <w:pPr>
        <w:spacing w:after="0" w:line="240" w:lineRule="auto"/>
        <w:jc w:val="both"/>
        <w:rPr>
          <w:rFonts w:ascii="Arial" w:hAnsi="Arial" w:cs="Arial"/>
        </w:rPr>
      </w:pPr>
    </w:p>
    <w:p w:rsidR="003D086D" w:rsidRPr="003D086D" w:rsidRDefault="003D086D" w:rsidP="003D086D">
      <w:pPr>
        <w:spacing w:after="0" w:line="240" w:lineRule="auto"/>
        <w:jc w:val="both"/>
        <w:rPr>
          <w:rFonts w:ascii="Arial" w:hAnsi="Arial" w:cs="Arial"/>
        </w:rPr>
      </w:pPr>
      <w:r w:rsidRPr="003D086D">
        <w:rPr>
          <w:rFonts w:ascii="Arial" w:hAnsi="Arial" w:cs="Arial"/>
        </w:rPr>
        <w:t xml:space="preserve">Amparo directo 829/2019. Pegaso </w:t>
      </w:r>
      <w:proofErr w:type="spellStart"/>
      <w:r w:rsidRPr="003D086D">
        <w:rPr>
          <w:rFonts w:ascii="Arial" w:hAnsi="Arial" w:cs="Arial"/>
        </w:rPr>
        <w:t>PCS</w:t>
      </w:r>
      <w:proofErr w:type="spellEnd"/>
      <w:r w:rsidRPr="003D086D">
        <w:rPr>
          <w:rFonts w:ascii="Arial" w:hAnsi="Arial" w:cs="Arial"/>
        </w:rPr>
        <w:t>, S.A. de C.V. 21 de noviembre de 2019. Unanimidad de votos. Ponente: Paula María García Villegas Sánchez Cordero. Secretaria: Cinthia Monserrat Ortega Mondragón.</w:t>
      </w:r>
    </w:p>
    <w:p w:rsidR="003D086D" w:rsidRPr="003D086D" w:rsidRDefault="003D086D" w:rsidP="003D086D">
      <w:pPr>
        <w:spacing w:after="0" w:line="240" w:lineRule="auto"/>
        <w:jc w:val="both"/>
        <w:rPr>
          <w:rFonts w:ascii="Arial" w:hAnsi="Arial" w:cs="Arial"/>
        </w:rPr>
      </w:pPr>
    </w:p>
    <w:p w:rsidR="003D086D" w:rsidRPr="003D086D" w:rsidRDefault="003D086D" w:rsidP="003D086D">
      <w:pPr>
        <w:spacing w:after="0" w:line="240" w:lineRule="auto"/>
        <w:jc w:val="both"/>
        <w:rPr>
          <w:rFonts w:ascii="Arial" w:hAnsi="Arial" w:cs="Arial"/>
        </w:rPr>
      </w:pPr>
      <w:r w:rsidRPr="003D086D">
        <w:rPr>
          <w:rFonts w:ascii="Arial" w:hAnsi="Arial" w:cs="Arial"/>
        </w:rPr>
        <w:t xml:space="preserve">Amparo directo 879/2019. Pegaso </w:t>
      </w:r>
      <w:proofErr w:type="spellStart"/>
      <w:r w:rsidRPr="003D086D">
        <w:rPr>
          <w:rFonts w:ascii="Arial" w:hAnsi="Arial" w:cs="Arial"/>
        </w:rPr>
        <w:t>PCS</w:t>
      </w:r>
      <w:proofErr w:type="spellEnd"/>
      <w:r w:rsidRPr="003D086D">
        <w:rPr>
          <w:rFonts w:ascii="Arial" w:hAnsi="Arial" w:cs="Arial"/>
        </w:rPr>
        <w:t xml:space="preserve">, </w:t>
      </w:r>
      <w:proofErr w:type="spellStart"/>
      <w:r w:rsidRPr="003D086D">
        <w:rPr>
          <w:rFonts w:ascii="Arial" w:hAnsi="Arial" w:cs="Arial"/>
        </w:rPr>
        <w:t>S.A</w:t>
      </w:r>
      <w:proofErr w:type="spellEnd"/>
      <w:r w:rsidRPr="003D086D">
        <w:rPr>
          <w:rFonts w:ascii="Arial" w:hAnsi="Arial" w:cs="Arial"/>
        </w:rPr>
        <w:t>, de C.V. 4 de diciembre de 2019. Unanimidad de votos. Ponente: Sofía Verónica Ávalos Díaz. Secretario: Víctor Hugo Solano Vera.</w:t>
      </w:r>
    </w:p>
    <w:p w:rsidR="003D086D" w:rsidRPr="003D086D" w:rsidRDefault="003D086D" w:rsidP="003D086D">
      <w:pPr>
        <w:spacing w:after="0" w:line="240" w:lineRule="auto"/>
        <w:jc w:val="both"/>
        <w:rPr>
          <w:rFonts w:ascii="Arial" w:hAnsi="Arial" w:cs="Arial"/>
        </w:rPr>
      </w:pPr>
    </w:p>
    <w:p w:rsidR="003D086D" w:rsidRDefault="003D086D" w:rsidP="000B1C47">
      <w:pPr>
        <w:spacing w:after="0" w:line="240" w:lineRule="auto"/>
        <w:jc w:val="both"/>
        <w:rPr>
          <w:rFonts w:ascii="Arial" w:hAnsi="Arial" w:cs="Arial"/>
        </w:rPr>
      </w:pPr>
    </w:p>
    <w:p w:rsidR="00641A4A" w:rsidRDefault="00641A4A" w:rsidP="000B1C47">
      <w:pPr>
        <w:spacing w:after="0" w:line="240" w:lineRule="auto"/>
        <w:jc w:val="both"/>
        <w:rPr>
          <w:rFonts w:ascii="Arial" w:hAnsi="Arial" w:cs="Arial"/>
        </w:rPr>
      </w:pPr>
    </w:p>
    <w:p w:rsidR="00641A4A" w:rsidRPr="00641A4A" w:rsidRDefault="00EF7399" w:rsidP="00641A4A">
      <w:pPr>
        <w:spacing w:after="0" w:line="240" w:lineRule="auto"/>
        <w:jc w:val="both"/>
        <w:rPr>
          <w:rFonts w:ascii="Arial" w:hAnsi="Arial" w:cs="Arial"/>
        </w:rPr>
      </w:pPr>
      <w:r>
        <w:rPr>
          <w:rFonts w:ascii="Arial" w:hAnsi="Arial" w:cs="Arial"/>
        </w:rPr>
        <w:lastRenderedPageBreak/>
        <w:t xml:space="preserve">5. </w:t>
      </w:r>
      <w:r w:rsidR="00641A4A" w:rsidRPr="00641A4A">
        <w:rPr>
          <w:rFonts w:ascii="Arial" w:hAnsi="Arial" w:cs="Arial"/>
        </w:rPr>
        <w:t xml:space="preserve">Época: Décima Época </w:t>
      </w:r>
    </w:p>
    <w:p w:rsidR="00641A4A" w:rsidRPr="00641A4A" w:rsidRDefault="00641A4A" w:rsidP="00641A4A">
      <w:pPr>
        <w:spacing w:after="0" w:line="240" w:lineRule="auto"/>
        <w:jc w:val="both"/>
        <w:rPr>
          <w:rFonts w:ascii="Arial" w:hAnsi="Arial" w:cs="Arial"/>
        </w:rPr>
      </w:pPr>
      <w:r w:rsidRPr="00641A4A">
        <w:rPr>
          <w:rFonts w:ascii="Arial" w:hAnsi="Arial" w:cs="Arial"/>
        </w:rPr>
        <w:t xml:space="preserve">Registro: 2021523 </w:t>
      </w:r>
    </w:p>
    <w:p w:rsidR="00641A4A" w:rsidRPr="00641A4A" w:rsidRDefault="00641A4A" w:rsidP="00641A4A">
      <w:pPr>
        <w:spacing w:after="0" w:line="240" w:lineRule="auto"/>
        <w:jc w:val="both"/>
        <w:rPr>
          <w:rFonts w:ascii="Arial" w:hAnsi="Arial" w:cs="Arial"/>
        </w:rPr>
      </w:pPr>
      <w:r w:rsidRPr="00641A4A">
        <w:rPr>
          <w:rFonts w:ascii="Arial" w:hAnsi="Arial" w:cs="Arial"/>
        </w:rPr>
        <w:t xml:space="preserve">Instancia: Tribunales Colegiados de Circuito </w:t>
      </w:r>
    </w:p>
    <w:p w:rsidR="00641A4A" w:rsidRPr="00641A4A" w:rsidRDefault="00641A4A" w:rsidP="00641A4A">
      <w:pPr>
        <w:spacing w:after="0" w:line="240" w:lineRule="auto"/>
        <w:jc w:val="both"/>
        <w:rPr>
          <w:rFonts w:ascii="Arial" w:hAnsi="Arial" w:cs="Arial"/>
        </w:rPr>
      </w:pPr>
      <w:r w:rsidRPr="00641A4A">
        <w:rPr>
          <w:rFonts w:ascii="Arial" w:hAnsi="Arial" w:cs="Arial"/>
        </w:rPr>
        <w:t xml:space="preserve">Tipo de Tesis: Aislada </w:t>
      </w:r>
    </w:p>
    <w:p w:rsidR="00641A4A" w:rsidRPr="00641A4A" w:rsidRDefault="00641A4A" w:rsidP="00641A4A">
      <w:pPr>
        <w:spacing w:after="0" w:line="240" w:lineRule="auto"/>
        <w:jc w:val="both"/>
        <w:rPr>
          <w:rFonts w:ascii="Arial" w:hAnsi="Arial" w:cs="Arial"/>
        </w:rPr>
      </w:pPr>
      <w:r w:rsidRPr="00641A4A">
        <w:rPr>
          <w:rFonts w:ascii="Arial" w:hAnsi="Arial" w:cs="Arial"/>
        </w:rPr>
        <w:t xml:space="preserve">Fuente: Semanario Judicial de la Federación </w:t>
      </w:r>
    </w:p>
    <w:p w:rsidR="00641A4A" w:rsidRPr="00641A4A" w:rsidRDefault="00641A4A" w:rsidP="00641A4A">
      <w:pPr>
        <w:spacing w:after="0" w:line="240" w:lineRule="auto"/>
        <w:jc w:val="both"/>
        <w:rPr>
          <w:rFonts w:ascii="Arial" w:hAnsi="Arial" w:cs="Arial"/>
        </w:rPr>
      </w:pPr>
      <w:r w:rsidRPr="00641A4A">
        <w:rPr>
          <w:rFonts w:ascii="Arial" w:hAnsi="Arial" w:cs="Arial"/>
        </w:rPr>
        <w:t xml:space="preserve">Publicación: viernes 31 de enero de 2020 10:32 h </w:t>
      </w:r>
    </w:p>
    <w:p w:rsidR="00641A4A" w:rsidRPr="00641A4A" w:rsidRDefault="00641A4A" w:rsidP="00641A4A">
      <w:pPr>
        <w:spacing w:after="0" w:line="240" w:lineRule="auto"/>
        <w:jc w:val="both"/>
        <w:rPr>
          <w:rFonts w:ascii="Arial" w:hAnsi="Arial" w:cs="Arial"/>
        </w:rPr>
      </w:pPr>
      <w:r w:rsidRPr="00641A4A">
        <w:rPr>
          <w:rFonts w:ascii="Arial" w:hAnsi="Arial" w:cs="Arial"/>
        </w:rPr>
        <w:t xml:space="preserve">Materia(s): (Común) </w:t>
      </w:r>
    </w:p>
    <w:p w:rsidR="00641A4A" w:rsidRPr="00641A4A" w:rsidRDefault="00641A4A" w:rsidP="00641A4A">
      <w:pPr>
        <w:spacing w:after="0" w:line="240" w:lineRule="auto"/>
        <w:jc w:val="both"/>
        <w:rPr>
          <w:rFonts w:ascii="Arial" w:hAnsi="Arial" w:cs="Arial"/>
        </w:rPr>
      </w:pPr>
      <w:r w:rsidRPr="00641A4A">
        <w:rPr>
          <w:rFonts w:ascii="Arial" w:hAnsi="Arial" w:cs="Arial"/>
        </w:rPr>
        <w:t xml:space="preserve">Tesis: V.3o.C.T.10 K (10a.) </w:t>
      </w:r>
    </w:p>
    <w:p w:rsidR="00641A4A" w:rsidRPr="00641A4A" w:rsidRDefault="00641A4A" w:rsidP="00641A4A">
      <w:pPr>
        <w:spacing w:after="0" w:line="240" w:lineRule="auto"/>
        <w:jc w:val="both"/>
        <w:rPr>
          <w:rFonts w:ascii="Arial" w:hAnsi="Arial" w:cs="Arial"/>
        </w:rPr>
      </w:pPr>
    </w:p>
    <w:p w:rsidR="00641A4A" w:rsidRPr="00EF7399" w:rsidRDefault="00641A4A" w:rsidP="00EF7399">
      <w:pPr>
        <w:pStyle w:val="Ttulo2"/>
        <w:jc w:val="both"/>
        <w:rPr>
          <w:rFonts w:ascii="Arial" w:hAnsi="Arial" w:cs="Arial"/>
          <w:color w:val="B35E06" w:themeColor="accent1" w:themeShade="BF"/>
        </w:rPr>
      </w:pPr>
      <w:bookmarkStart w:id="6" w:name="_Toc31722763"/>
      <w:r w:rsidRPr="00EF7399">
        <w:rPr>
          <w:rFonts w:ascii="Arial" w:hAnsi="Arial" w:cs="Arial"/>
          <w:color w:val="B35E06" w:themeColor="accent1" w:themeShade="BF"/>
        </w:rPr>
        <w:t>AMPARO INDIRECTO. PROCEDE CONTRA EL ACUERDO DICTADO EN UN JUICIO CIVIL QUE ADMITE LA PRUEBA DE INFORME DE INSTITUCIÓN MÉDICA OFRECIDA POR LA CONTRAPARTE DEL QUEJOSO, PARA QUE AQUÉLLA REMITA COPIA DEL EXPEDIENTE CLÍNICO DEL HIJO FINADO DE ÉSTE, AL CONSTITUIR UN ACTO DE IMPOSIBLE REPARACIÓN.</w:t>
      </w:r>
      <w:r w:rsidR="00EF7399">
        <w:rPr>
          <w:rStyle w:val="Refdenotaalpie"/>
          <w:rFonts w:ascii="Arial" w:hAnsi="Arial" w:cs="Arial"/>
          <w:color w:val="B35E06" w:themeColor="accent1" w:themeShade="BF"/>
        </w:rPr>
        <w:footnoteReference w:id="1"/>
      </w:r>
      <w:bookmarkEnd w:id="6"/>
    </w:p>
    <w:p w:rsidR="00641A4A" w:rsidRPr="00641A4A" w:rsidRDefault="00641A4A" w:rsidP="00641A4A">
      <w:pPr>
        <w:spacing w:after="0" w:line="240" w:lineRule="auto"/>
        <w:jc w:val="both"/>
        <w:rPr>
          <w:rFonts w:ascii="Arial" w:hAnsi="Arial" w:cs="Arial"/>
        </w:rPr>
      </w:pPr>
    </w:p>
    <w:p w:rsidR="00641A4A" w:rsidRPr="00641A4A" w:rsidRDefault="00641A4A" w:rsidP="00641A4A">
      <w:pPr>
        <w:spacing w:after="0" w:line="240" w:lineRule="auto"/>
        <w:jc w:val="both"/>
        <w:rPr>
          <w:rFonts w:ascii="Arial" w:hAnsi="Arial" w:cs="Arial"/>
        </w:rPr>
      </w:pPr>
      <w:r w:rsidRPr="00641A4A">
        <w:rPr>
          <w:rFonts w:ascii="Arial" w:hAnsi="Arial" w:cs="Arial"/>
        </w:rPr>
        <w:t xml:space="preserve">El derecho sustantivo a la protección de datos personales tutelado en los artículos 6o. y 16, párrafo segundo, de la Constitución Política de los Estados Unidos Mexicanos, consiste en el control de cada individuo sobre el acceso y uso de la información personal, en aras de preservar la vida privada de las personas. En relación con este derecho, el artículo 111 A de la Ley del Seguro Social y la Norma Oficial Mexicana NOM-004-SSA3-2012, publicada en el Diario Oficial de la Federación el 15 de octubre de 2012, establecen la obligación del personal de los establecimientos para la atención médica de manejar con discreción y confidencialidad la información contenida en los expedientes clínicos, pudiendo ser únicamente proporcionada a terceros cuando medie la solicitud escrita del paciente, el tutor, representante legal o de un médico debidamente autorizado por alguno de éstos; asimismo, en el citado numeral 111 A, se señala que la revelación de los datos y registros que consten en los expedientes clínicos electrónicos a terceros ajenos al Instituto Mexicano del Seguro Social, sin autorización expresa de las autoridades de éste y del derechohabiente o de quien tenga facultad legal para decidir por él, o sin causa legal que lo justifique, será sancionada en términos de la legislación penal federal como revelación de secretos, con independencia del pago de la indemnización que, en su caso, corresponda. En ese orden de ideas, el acuerdo dictado en un juicio civil que admite la prueba de informe de institución médica ofrecida por la contraparte del quejoso, para que aquélla remita copia del expediente clínico del hijo finado de éste, constituye un acto de imposible reparación, en términos de la fracción V del artículo 107 de la Ley de Amparo, en la medida en que su desahogo pudiera implicar que terceras personas </w:t>
      </w:r>
      <w:r w:rsidRPr="00641A4A">
        <w:rPr>
          <w:rFonts w:ascii="Arial" w:hAnsi="Arial" w:cs="Arial"/>
        </w:rPr>
        <w:lastRenderedPageBreak/>
        <w:t>tengan acceso a dicho expediente sin autorización previa de quien deba otorgarla, lo cual consumaría irreparablemente la afectación del derecho a la protección de datos personales del hijo finado del quejoso, pues aun cuando éste obtuviera sentencia favorable en el juicio de origen, no desaparecería la afectación resentida con motivo de la divulgación de la información confidencial relativa al historial médico del difunto; máxime cuando éste era menor de edad. Lo anterior, en la inteligencia de que el carácter de imposible reparación del acuerdo reclamado, no implica que éste sea inconstitucional por sí mismo, sino únicamente justifica la procedencia del juicio de amparo indirecto, por lo que en todo caso será el Juez de Distrito quien en el momento procesal oportuno resuelva este aspecto, ponderando las particularidades del caso concreto.</w:t>
      </w:r>
    </w:p>
    <w:p w:rsidR="00641A4A" w:rsidRPr="00641A4A" w:rsidRDefault="00641A4A" w:rsidP="00641A4A">
      <w:pPr>
        <w:spacing w:after="0" w:line="240" w:lineRule="auto"/>
        <w:jc w:val="both"/>
        <w:rPr>
          <w:rFonts w:ascii="Arial" w:hAnsi="Arial" w:cs="Arial"/>
        </w:rPr>
      </w:pPr>
    </w:p>
    <w:p w:rsidR="00641A4A" w:rsidRPr="00641A4A" w:rsidRDefault="00641A4A" w:rsidP="00641A4A">
      <w:pPr>
        <w:spacing w:after="0" w:line="240" w:lineRule="auto"/>
        <w:jc w:val="both"/>
        <w:rPr>
          <w:rFonts w:ascii="Arial" w:hAnsi="Arial" w:cs="Arial"/>
        </w:rPr>
      </w:pPr>
      <w:r w:rsidRPr="00641A4A">
        <w:rPr>
          <w:rFonts w:ascii="Arial" w:hAnsi="Arial" w:cs="Arial"/>
        </w:rPr>
        <w:t>TERCER TRIBUNAL COLEGIADO EN MATERIAS CIVIL Y DE TRABAJO DEL QUINTO CIRCUITO.</w:t>
      </w:r>
    </w:p>
    <w:p w:rsidR="00641A4A" w:rsidRPr="00641A4A" w:rsidRDefault="00641A4A" w:rsidP="00641A4A">
      <w:pPr>
        <w:spacing w:after="0" w:line="240" w:lineRule="auto"/>
        <w:jc w:val="both"/>
        <w:rPr>
          <w:rFonts w:ascii="Arial" w:hAnsi="Arial" w:cs="Arial"/>
        </w:rPr>
      </w:pPr>
    </w:p>
    <w:p w:rsidR="00641A4A" w:rsidRPr="00641A4A" w:rsidRDefault="00641A4A" w:rsidP="00641A4A">
      <w:pPr>
        <w:spacing w:after="0" w:line="240" w:lineRule="auto"/>
        <w:jc w:val="both"/>
        <w:rPr>
          <w:rFonts w:ascii="Arial" w:hAnsi="Arial" w:cs="Arial"/>
        </w:rPr>
      </w:pPr>
      <w:r w:rsidRPr="00641A4A">
        <w:rPr>
          <w:rFonts w:ascii="Arial" w:hAnsi="Arial" w:cs="Arial"/>
        </w:rPr>
        <w:t xml:space="preserve">Queja 84/2019. Esther Alicia Palma Macías. 5 de septiembre de 2019. Unanimidad de votos. Ponente: José Manuel Blanco </w:t>
      </w:r>
      <w:proofErr w:type="spellStart"/>
      <w:r w:rsidRPr="00641A4A">
        <w:rPr>
          <w:rFonts w:ascii="Arial" w:hAnsi="Arial" w:cs="Arial"/>
        </w:rPr>
        <w:t>Quihuis</w:t>
      </w:r>
      <w:proofErr w:type="spellEnd"/>
      <w:r w:rsidRPr="00641A4A">
        <w:rPr>
          <w:rFonts w:ascii="Arial" w:hAnsi="Arial" w:cs="Arial"/>
        </w:rPr>
        <w:t>. Secretario: Germán Gutiérrez León.</w:t>
      </w:r>
    </w:p>
    <w:p w:rsidR="00DA4AFF" w:rsidRPr="00811016" w:rsidRDefault="00DA4AFF" w:rsidP="00EF7399">
      <w:pPr>
        <w:pStyle w:val="Ttulo1"/>
        <w:numPr>
          <w:ilvl w:val="0"/>
          <w:numId w:val="11"/>
        </w:numPr>
        <w:spacing w:line="360" w:lineRule="auto"/>
        <w:jc w:val="center"/>
        <w:rPr>
          <w:rFonts w:ascii="Arial" w:hAnsi="Arial" w:cs="Arial"/>
          <w:color w:val="B35E06" w:themeColor="accent1" w:themeShade="BF"/>
          <w:sz w:val="36"/>
          <w:szCs w:val="36"/>
        </w:rPr>
      </w:pPr>
      <w:bookmarkStart w:id="7" w:name="_Toc5371743"/>
      <w:bookmarkStart w:id="8" w:name="_Toc5263202"/>
      <w:bookmarkStart w:id="9" w:name="_Toc5180179"/>
      <w:bookmarkStart w:id="10" w:name="_Toc1380861"/>
      <w:bookmarkStart w:id="11" w:name="_Toc779016"/>
      <w:bookmarkStart w:id="12" w:name="_Toc536439466"/>
      <w:bookmarkStart w:id="13" w:name="_Toc535924787"/>
      <w:bookmarkStart w:id="14" w:name="_Toc338652"/>
      <w:bookmarkStart w:id="15" w:name="_Toc1379638"/>
      <w:bookmarkStart w:id="16" w:name="_Toc2071030"/>
      <w:bookmarkStart w:id="17" w:name="_Toc11316582"/>
      <w:bookmarkStart w:id="18" w:name="_Toc11316773"/>
      <w:bookmarkStart w:id="19" w:name="_Toc11664964"/>
      <w:bookmarkStart w:id="20" w:name="_Toc11756642"/>
      <w:bookmarkStart w:id="21" w:name="_Toc16862694"/>
      <w:bookmarkStart w:id="22" w:name="_Toc17202734"/>
      <w:bookmarkStart w:id="23" w:name="_Toc30765501"/>
      <w:bookmarkStart w:id="24" w:name="_Toc30765683"/>
      <w:bookmarkStart w:id="25" w:name="_Toc30766439"/>
      <w:bookmarkStart w:id="26" w:name="_Toc30767001"/>
      <w:bookmarkStart w:id="27" w:name="_Toc31722764"/>
      <w:r w:rsidRPr="00811016">
        <w:rPr>
          <w:rFonts w:ascii="Arial" w:hAnsi="Arial" w:cs="Arial"/>
          <w:color w:val="B35E06" w:themeColor="accent1" w:themeShade="BF"/>
          <w:sz w:val="36"/>
          <w:szCs w:val="36"/>
        </w:rPr>
        <w:t>FUENTES CONSULTADAS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DA4AFF" w:rsidRPr="00591067" w:rsidRDefault="00DA4AFF" w:rsidP="00DA4AFF">
      <w:pPr>
        <w:numPr>
          <w:ilvl w:val="0"/>
          <w:numId w:val="6"/>
        </w:numPr>
        <w:spacing w:after="0" w:line="360" w:lineRule="auto"/>
        <w:jc w:val="center"/>
        <w:rPr>
          <w:rFonts w:ascii="Arial" w:hAnsi="Arial" w:cs="Arial"/>
          <w:b/>
          <w:bCs/>
          <w:vanish/>
          <w:color w:val="B35E06" w:themeColor="accent1" w:themeShade="BF"/>
          <w:szCs w:val="24"/>
          <w:lang w:val="es-MX"/>
        </w:rPr>
      </w:pPr>
      <w:bookmarkStart w:id="28" w:name="_Toc536437384"/>
      <w:bookmarkStart w:id="29" w:name="_Toc536437577"/>
      <w:bookmarkStart w:id="30" w:name="_Toc536439344"/>
      <w:bookmarkStart w:id="31" w:name="_Toc536439427"/>
      <w:bookmarkStart w:id="32" w:name="_Toc536439467"/>
      <w:bookmarkStart w:id="33" w:name="_Toc338653"/>
      <w:bookmarkStart w:id="34" w:name="_Toc778876"/>
      <w:bookmarkStart w:id="35" w:name="_Toc779017"/>
      <w:bookmarkStart w:id="36" w:name="_Toc1379639"/>
      <w:bookmarkStart w:id="37" w:name="_Toc1380862"/>
      <w:bookmarkStart w:id="38" w:name="_Toc2071031"/>
      <w:bookmarkStart w:id="39" w:name="_Toc5180102"/>
      <w:bookmarkStart w:id="40" w:name="_Toc5180180"/>
      <w:bookmarkStart w:id="41" w:name="_Toc5262815"/>
      <w:bookmarkStart w:id="42" w:name="_Toc5263076"/>
      <w:bookmarkStart w:id="43" w:name="_Toc5263203"/>
      <w:bookmarkStart w:id="44" w:name="_Toc5263841"/>
      <w:bookmarkStart w:id="45" w:name="_Toc5263889"/>
      <w:bookmarkStart w:id="46" w:name="_Toc5263941"/>
      <w:bookmarkStart w:id="47" w:name="_Toc5273346"/>
      <w:bookmarkStart w:id="48" w:name="_Toc5277921"/>
      <w:bookmarkStart w:id="49" w:name="_Toc5371729"/>
      <w:bookmarkStart w:id="50" w:name="_Toc5371744"/>
      <w:bookmarkStart w:id="51" w:name="_Toc53643946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DA4AFF" w:rsidRPr="00591067" w:rsidRDefault="00DA4AFF" w:rsidP="00DA4AFF">
      <w:pPr>
        <w:numPr>
          <w:ilvl w:val="0"/>
          <w:numId w:val="6"/>
        </w:numPr>
        <w:spacing w:after="0" w:line="360" w:lineRule="auto"/>
        <w:jc w:val="center"/>
        <w:rPr>
          <w:rFonts w:ascii="Arial" w:hAnsi="Arial" w:cs="Arial"/>
          <w:b/>
          <w:bCs/>
          <w:vanish/>
          <w:color w:val="B35E06" w:themeColor="accent1" w:themeShade="BF"/>
          <w:szCs w:val="24"/>
          <w:lang w:val="es-MX"/>
        </w:rPr>
      </w:pPr>
      <w:bookmarkStart w:id="52" w:name="_Toc338654"/>
      <w:bookmarkStart w:id="53" w:name="_Toc778877"/>
      <w:bookmarkStart w:id="54" w:name="_Toc779018"/>
      <w:bookmarkStart w:id="55" w:name="_Toc1379640"/>
      <w:bookmarkStart w:id="56" w:name="_Toc1380863"/>
      <w:bookmarkStart w:id="57" w:name="_Toc2071032"/>
      <w:bookmarkStart w:id="58" w:name="_Toc5180103"/>
      <w:bookmarkStart w:id="59" w:name="_Toc5180181"/>
      <w:bookmarkStart w:id="60" w:name="_Toc5262816"/>
      <w:bookmarkStart w:id="61" w:name="_Toc5263077"/>
      <w:bookmarkStart w:id="62" w:name="_Toc5263204"/>
      <w:bookmarkStart w:id="63" w:name="_Toc5263842"/>
      <w:bookmarkStart w:id="64" w:name="_Toc5263890"/>
      <w:bookmarkStart w:id="65" w:name="_Toc5263942"/>
      <w:bookmarkStart w:id="66" w:name="_Toc5273347"/>
      <w:bookmarkStart w:id="67" w:name="_Toc5277922"/>
      <w:bookmarkStart w:id="68" w:name="_Toc5371730"/>
      <w:bookmarkStart w:id="69" w:name="_Toc537174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DA4AFF" w:rsidRPr="00591067" w:rsidRDefault="00DA4AFF" w:rsidP="00DA4AFF">
      <w:pPr>
        <w:pStyle w:val="Ttulo2"/>
        <w:spacing w:line="360" w:lineRule="auto"/>
        <w:jc w:val="center"/>
        <w:rPr>
          <w:rFonts w:ascii="Arial" w:hAnsi="Arial" w:cs="Arial"/>
          <w:vanish/>
          <w:color w:val="B35E06" w:themeColor="accent1" w:themeShade="BF"/>
        </w:rPr>
      </w:pPr>
      <w:bookmarkStart w:id="70" w:name="_Toc5371746"/>
      <w:bookmarkStart w:id="71" w:name="_Toc5263205"/>
      <w:bookmarkStart w:id="72" w:name="_Toc5180182"/>
      <w:bookmarkStart w:id="73" w:name="_Toc1380864"/>
      <w:bookmarkStart w:id="74" w:name="_Toc779019"/>
      <w:bookmarkStart w:id="75" w:name="_Toc338655"/>
      <w:bookmarkStart w:id="76" w:name="_Toc1379641"/>
      <w:bookmarkStart w:id="77" w:name="_Toc2071033"/>
      <w:bookmarkStart w:id="78" w:name="_Toc11316583"/>
      <w:bookmarkStart w:id="79" w:name="_Toc11316774"/>
      <w:bookmarkStart w:id="80" w:name="_Toc11664965"/>
      <w:bookmarkStart w:id="81" w:name="_Toc11756643"/>
      <w:bookmarkStart w:id="82" w:name="_Toc16862695"/>
      <w:bookmarkStart w:id="83" w:name="_Toc17202735"/>
      <w:bookmarkStart w:id="84" w:name="_Toc30765502"/>
      <w:bookmarkStart w:id="85" w:name="_Toc30765684"/>
      <w:bookmarkStart w:id="86" w:name="_Toc30766440"/>
      <w:bookmarkStart w:id="87" w:name="_Toc30767002"/>
      <w:bookmarkStart w:id="88" w:name="_Toc31722765"/>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89" w:name="_Toc524446387"/>
      <w:bookmarkStart w:id="90" w:name="_Toc524519068"/>
      <w:bookmarkStart w:id="91" w:name="_Toc524519163"/>
      <w:bookmarkStart w:id="92" w:name="_Toc524446390"/>
      <w:bookmarkStart w:id="93" w:name="_Toc524519071"/>
      <w:bookmarkStart w:id="94" w:name="_Toc524519166"/>
      <w:bookmarkEnd w:id="5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DA4AFF" w:rsidRPr="00591067" w:rsidRDefault="00DA4AFF" w:rsidP="00DA4AFF">
      <w:pPr>
        <w:spacing w:after="0" w:line="360" w:lineRule="auto"/>
        <w:jc w:val="center"/>
        <w:rPr>
          <w:rFonts w:ascii="Arial" w:hAnsi="Arial" w:cs="Arial"/>
          <w:color w:val="B35E06" w:themeColor="accent1" w:themeShade="BF"/>
          <w:szCs w:val="24"/>
        </w:rPr>
      </w:pPr>
      <w:bookmarkStart w:id="95" w:name="_Toc524947297"/>
      <w:bookmarkStart w:id="96" w:name="_Toc525683586"/>
      <w:bookmarkStart w:id="97" w:name="_Toc525686134"/>
      <w:bookmarkStart w:id="98" w:name="_Toc525808260"/>
      <w:bookmarkStart w:id="99" w:name="_Toc525808291"/>
      <w:bookmarkStart w:id="100" w:name="_Toc525808454"/>
      <w:bookmarkStart w:id="101" w:name="_Toc524947298"/>
      <w:bookmarkStart w:id="102" w:name="_Toc525683587"/>
      <w:bookmarkStart w:id="103" w:name="_Toc525686135"/>
      <w:bookmarkStart w:id="104" w:name="_Toc525808261"/>
      <w:bookmarkStart w:id="105" w:name="_Toc525808292"/>
      <w:bookmarkStart w:id="106" w:name="_Toc525808455"/>
      <w:bookmarkStart w:id="107" w:name="_Toc524947299"/>
      <w:bookmarkStart w:id="108" w:name="_Toc525683588"/>
      <w:bookmarkStart w:id="109" w:name="_Toc525686136"/>
      <w:bookmarkStart w:id="110" w:name="_Toc525808262"/>
      <w:bookmarkStart w:id="111" w:name="_Toc525808293"/>
      <w:bookmarkStart w:id="112" w:name="_Toc525808456"/>
      <w:bookmarkStart w:id="113" w:name="_Toc524947300"/>
      <w:bookmarkStart w:id="114" w:name="_Toc525683589"/>
      <w:bookmarkStart w:id="115" w:name="_Toc525808294"/>
      <w:bookmarkStart w:id="116" w:name="_Toc525808457"/>
      <w:bookmarkStart w:id="117" w:name="_Toc53050378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DA4AFF" w:rsidRPr="00094A5D" w:rsidRDefault="00DA4AFF" w:rsidP="00DA4AFF">
      <w:pPr>
        <w:pStyle w:val="Ttulo3"/>
        <w:jc w:val="center"/>
        <w:rPr>
          <w:rFonts w:ascii="Arial" w:hAnsi="Arial" w:cs="Arial"/>
          <w:b w:val="0"/>
          <w:color w:val="B35E06" w:themeColor="accent1" w:themeShade="BF"/>
        </w:rPr>
      </w:pPr>
      <w:bookmarkStart w:id="118" w:name="_Toc5371747"/>
      <w:bookmarkStart w:id="119" w:name="_Toc5263206"/>
      <w:bookmarkStart w:id="120" w:name="_Toc5180183"/>
      <w:bookmarkStart w:id="121" w:name="_Toc1380865"/>
      <w:bookmarkStart w:id="122" w:name="_Toc779020"/>
      <w:bookmarkStart w:id="123" w:name="_Toc536439469"/>
      <w:bookmarkStart w:id="124" w:name="_Toc338656"/>
      <w:bookmarkStart w:id="125" w:name="_Toc1379642"/>
      <w:bookmarkStart w:id="126" w:name="_Toc2071034"/>
      <w:bookmarkStart w:id="127" w:name="_Toc11316584"/>
      <w:bookmarkStart w:id="128" w:name="_Toc11316775"/>
      <w:bookmarkStart w:id="129" w:name="_Toc11664966"/>
      <w:bookmarkStart w:id="130" w:name="_Toc11756644"/>
      <w:bookmarkStart w:id="131" w:name="_Toc16862696"/>
      <w:bookmarkStart w:id="132" w:name="_Toc17202736"/>
      <w:bookmarkStart w:id="133" w:name="_Toc30765503"/>
      <w:bookmarkStart w:id="134" w:name="_Toc30765685"/>
      <w:bookmarkStart w:id="135" w:name="_Toc30766441"/>
      <w:bookmarkStart w:id="136" w:name="_Toc30767003"/>
      <w:bookmarkStart w:id="137" w:name="_Toc31722766"/>
      <w:r w:rsidRPr="00094A5D">
        <w:rPr>
          <w:rFonts w:ascii="Arial" w:hAnsi="Arial" w:cs="Arial"/>
          <w:b w:val="0"/>
          <w:color w:val="B35E06" w:themeColor="accent1" w:themeShade="BF"/>
        </w:rPr>
        <w:t>SEMANARIO JUDICIAL DE LA FEDERACIÓN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DA4AFF" w:rsidRPr="00094A5D" w:rsidRDefault="00DA4AFF" w:rsidP="00DA4AFF"/>
    <w:p w:rsidR="00DA4AFF" w:rsidRPr="00A91C82" w:rsidRDefault="00DA4AFF" w:rsidP="00DA4AFF">
      <w:pPr>
        <w:spacing w:after="0" w:line="240" w:lineRule="auto"/>
        <w:jc w:val="center"/>
        <w:rPr>
          <w:rFonts w:ascii="Arial" w:hAnsi="Arial" w:cs="Arial"/>
          <w:szCs w:val="24"/>
        </w:rPr>
      </w:pPr>
      <w:bookmarkStart w:id="138" w:name="_Toc525808458"/>
      <w:bookmarkStart w:id="139" w:name="_Toc525808295"/>
      <w:bookmarkStart w:id="140" w:name="_Toc525683590"/>
      <w:bookmarkStart w:id="141" w:name="_Toc524947301"/>
      <w:bookmarkStart w:id="142" w:name="_Toc530503785"/>
      <w:bookmarkEnd w:id="113"/>
      <w:bookmarkEnd w:id="114"/>
      <w:bookmarkEnd w:id="115"/>
      <w:bookmarkEnd w:id="116"/>
      <w:bookmarkEnd w:id="117"/>
      <w:r w:rsidRPr="00A91C82">
        <w:rPr>
          <w:rFonts w:ascii="Arial" w:hAnsi="Arial" w:cs="Arial"/>
          <w:bCs/>
          <w:szCs w:val="24"/>
        </w:rPr>
        <w:t>(https://sjf.scjn.gob.mx/SJFSem/Paginas/SemanarioV5.aspx</w:t>
      </w:r>
      <w:bookmarkEnd w:id="138"/>
      <w:bookmarkEnd w:id="139"/>
      <w:bookmarkEnd w:id="140"/>
      <w:bookmarkEnd w:id="141"/>
      <w:r w:rsidRPr="00A91C82">
        <w:rPr>
          <w:rFonts w:ascii="Arial" w:hAnsi="Arial" w:cs="Arial"/>
          <w:bCs/>
          <w:szCs w:val="24"/>
        </w:rPr>
        <w:t>)</w:t>
      </w:r>
      <w:bookmarkEnd w:id="142"/>
    </w:p>
    <w:p w:rsidR="00DA4AFF" w:rsidRPr="005B2A34" w:rsidRDefault="00DA4AFF" w:rsidP="00DA4AFF">
      <w:pPr>
        <w:spacing w:after="0" w:line="240" w:lineRule="auto"/>
        <w:jc w:val="both"/>
        <w:rPr>
          <w:rFonts w:ascii="Arial" w:hAnsi="Arial" w:cs="Arial"/>
          <w:szCs w:val="24"/>
        </w:rPr>
      </w:pPr>
    </w:p>
    <w:p w:rsidR="00DA4AFF" w:rsidRPr="00767E9D" w:rsidRDefault="00DA4AFF" w:rsidP="00DA4AFF">
      <w:pPr>
        <w:spacing w:after="0" w:line="240" w:lineRule="auto"/>
        <w:jc w:val="both"/>
        <w:rPr>
          <w:rFonts w:ascii="Arial" w:hAnsi="Arial" w:cs="Arial"/>
        </w:rPr>
      </w:pPr>
    </w:p>
    <w:p w:rsidR="00641A4A" w:rsidRPr="000B1C47" w:rsidRDefault="00641A4A" w:rsidP="000B1C47">
      <w:pPr>
        <w:spacing w:after="0" w:line="240" w:lineRule="auto"/>
        <w:jc w:val="both"/>
        <w:rPr>
          <w:rFonts w:ascii="Arial" w:hAnsi="Arial" w:cs="Arial"/>
        </w:rPr>
      </w:pPr>
    </w:p>
    <w:sectPr w:rsidR="00641A4A" w:rsidRPr="000B1C47" w:rsidSect="002263E7">
      <w:headerReference w:type="default" r:id="rId12"/>
      <w:footerReference w:type="default" r:id="rId13"/>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C9" w:rsidRDefault="00AF02C9">
      <w:pPr>
        <w:spacing w:after="0" w:line="240" w:lineRule="auto"/>
      </w:pPr>
      <w:r>
        <w:separator/>
      </w:r>
    </w:p>
  </w:endnote>
  <w:endnote w:type="continuationSeparator" w:id="0">
    <w:p w:rsidR="00AF02C9" w:rsidRDefault="00AF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46BFA868" wp14:editId="41AC67D0">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C9" w:rsidRDefault="00AF02C9">
      <w:pPr>
        <w:spacing w:after="0" w:line="240" w:lineRule="auto"/>
      </w:pPr>
      <w:r>
        <w:separator/>
      </w:r>
    </w:p>
  </w:footnote>
  <w:footnote w:type="continuationSeparator" w:id="0">
    <w:p w:rsidR="00AF02C9" w:rsidRDefault="00AF02C9">
      <w:pPr>
        <w:spacing w:after="0" w:line="240" w:lineRule="auto"/>
      </w:pPr>
      <w:r>
        <w:continuationSeparator/>
      </w:r>
    </w:p>
  </w:footnote>
  <w:footnote w:id="1">
    <w:p w:rsidR="00EF7399" w:rsidRPr="00EF7399" w:rsidRDefault="00EF7399" w:rsidP="00EF7399">
      <w:pPr>
        <w:spacing w:after="0" w:line="240" w:lineRule="auto"/>
        <w:jc w:val="both"/>
        <w:rPr>
          <w:rFonts w:ascii="Arial" w:hAnsi="Arial" w:cs="Arial"/>
          <w:sz w:val="18"/>
          <w:szCs w:val="18"/>
        </w:rPr>
      </w:pPr>
      <w:r w:rsidRPr="00EF7399">
        <w:rPr>
          <w:rStyle w:val="Refdenotaalpie"/>
          <w:rFonts w:ascii="Arial" w:hAnsi="Arial" w:cs="Arial"/>
          <w:sz w:val="18"/>
          <w:szCs w:val="18"/>
        </w:rPr>
        <w:footnoteRef/>
      </w:r>
      <w:r w:rsidRPr="00EF7399">
        <w:rPr>
          <w:rFonts w:ascii="Arial" w:hAnsi="Arial" w:cs="Arial"/>
          <w:sz w:val="18"/>
          <w:szCs w:val="18"/>
        </w:rPr>
        <w:t xml:space="preserve"> </w:t>
      </w:r>
      <w:r w:rsidRPr="00EF7399">
        <w:rPr>
          <w:rFonts w:ascii="Arial" w:hAnsi="Arial" w:cs="Arial"/>
          <w:sz w:val="18"/>
          <w:szCs w:val="18"/>
        </w:rPr>
        <w:t>Esta tesis aparece de igual manera en la compilación de tesis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1023E0CC" wp14:editId="4B73AAC1">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2F6A943E" wp14:editId="26C5D81B">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0F004586" wp14:editId="1877E49F">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4A8A716A" wp14:editId="3C2DDE8D">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9C04C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0526B5"/>
    <w:multiLevelType w:val="multilevel"/>
    <w:tmpl w:val="5B182D38"/>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color w:val="B35E06" w:themeColor="accent1" w:themeShade="BF"/>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6"/>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8"/>
  </w:num>
  <w:num w:numId="10">
    <w:abstractNumId w:val="1"/>
  </w:num>
  <w:num w:numId="11">
    <w:abstractNumId w:val="16"/>
  </w:num>
  <w:num w:numId="12">
    <w:abstractNumId w:val="14"/>
  </w:num>
  <w:num w:numId="13">
    <w:abstractNumId w:val="2"/>
  </w:num>
  <w:num w:numId="14">
    <w:abstractNumId w:val="9"/>
  </w:num>
  <w:num w:numId="15">
    <w:abstractNumId w:val="15"/>
  </w:num>
  <w:num w:numId="16">
    <w:abstractNumId w:val="7"/>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495E"/>
    <w:rsid w:val="0001626D"/>
    <w:rsid w:val="00035454"/>
    <w:rsid w:val="000A5150"/>
    <w:rsid w:val="000B1C47"/>
    <w:rsid w:val="000B22CA"/>
    <w:rsid w:val="000D02CC"/>
    <w:rsid w:val="000D40AA"/>
    <w:rsid w:val="000D68B2"/>
    <w:rsid w:val="000E584C"/>
    <w:rsid w:val="00113202"/>
    <w:rsid w:val="00143A2B"/>
    <w:rsid w:val="00166FFC"/>
    <w:rsid w:val="001725DB"/>
    <w:rsid w:val="00176ED5"/>
    <w:rsid w:val="001C13E2"/>
    <w:rsid w:val="001D0683"/>
    <w:rsid w:val="00205969"/>
    <w:rsid w:val="002263E7"/>
    <w:rsid w:val="00265521"/>
    <w:rsid w:val="002C0A64"/>
    <w:rsid w:val="002E0B9C"/>
    <w:rsid w:val="002E6287"/>
    <w:rsid w:val="002F2A9F"/>
    <w:rsid w:val="00303AE1"/>
    <w:rsid w:val="00341C0A"/>
    <w:rsid w:val="003474DE"/>
    <w:rsid w:val="00357E72"/>
    <w:rsid w:val="003949BD"/>
    <w:rsid w:val="003B321C"/>
    <w:rsid w:val="003D086D"/>
    <w:rsid w:val="003F21F5"/>
    <w:rsid w:val="00425411"/>
    <w:rsid w:val="004B424A"/>
    <w:rsid w:val="004D61A7"/>
    <w:rsid w:val="004E29DC"/>
    <w:rsid w:val="005008D8"/>
    <w:rsid w:val="00524B92"/>
    <w:rsid w:val="00560F76"/>
    <w:rsid w:val="00587770"/>
    <w:rsid w:val="00591FFE"/>
    <w:rsid w:val="005B0A52"/>
    <w:rsid w:val="005B0DC7"/>
    <w:rsid w:val="005C2AAD"/>
    <w:rsid w:val="005D7F4F"/>
    <w:rsid w:val="00623FA6"/>
    <w:rsid w:val="00625009"/>
    <w:rsid w:val="00641A4A"/>
    <w:rsid w:val="00650E02"/>
    <w:rsid w:val="00655271"/>
    <w:rsid w:val="00691094"/>
    <w:rsid w:val="006B1EC9"/>
    <w:rsid w:val="006B7784"/>
    <w:rsid w:val="006E2C05"/>
    <w:rsid w:val="006F16F0"/>
    <w:rsid w:val="006F5E7A"/>
    <w:rsid w:val="00714A65"/>
    <w:rsid w:val="00715DEA"/>
    <w:rsid w:val="007520BE"/>
    <w:rsid w:val="007566EF"/>
    <w:rsid w:val="00761BC3"/>
    <w:rsid w:val="00761CCB"/>
    <w:rsid w:val="007C2576"/>
    <w:rsid w:val="007E703A"/>
    <w:rsid w:val="007F106F"/>
    <w:rsid w:val="00814717"/>
    <w:rsid w:val="00834E7E"/>
    <w:rsid w:val="008434DE"/>
    <w:rsid w:val="00844331"/>
    <w:rsid w:val="008613E1"/>
    <w:rsid w:val="008668C3"/>
    <w:rsid w:val="008A58E2"/>
    <w:rsid w:val="008E17FB"/>
    <w:rsid w:val="008E6394"/>
    <w:rsid w:val="008F2008"/>
    <w:rsid w:val="00911229"/>
    <w:rsid w:val="009468A0"/>
    <w:rsid w:val="009603E6"/>
    <w:rsid w:val="009C0993"/>
    <w:rsid w:val="009E413B"/>
    <w:rsid w:val="00A448C1"/>
    <w:rsid w:val="00A65F33"/>
    <w:rsid w:val="00A75F43"/>
    <w:rsid w:val="00A91AFB"/>
    <w:rsid w:val="00AA308A"/>
    <w:rsid w:val="00AA7AA0"/>
    <w:rsid w:val="00AB4981"/>
    <w:rsid w:val="00AD20E5"/>
    <w:rsid w:val="00AD5C3F"/>
    <w:rsid w:val="00AF02C9"/>
    <w:rsid w:val="00AF05BD"/>
    <w:rsid w:val="00AF169A"/>
    <w:rsid w:val="00B01757"/>
    <w:rsid w:val="00B119B8"/>
    <w:rsid w:val="00B20C11"/>
    <w:rsid w:val="00B3051E"/>
    <w:rsid w:val="00B43495"/>
    <w:rsid w:val="00B5204C"/>
    <w:rsid w:val="00B64AD8"/>
    <w:rsid w:val="00B70211"/>
    <w:rsid w:val="00B80261"/>
    <w:rsid w:val="00BA2DB2"/>
    <w:rsid w:val="00BB0FDA"/>
    <w:rsid w:val="00C3444C"/>
    <w:rsid w:val="00C52B00"/>
    <w:rsid w:val="00C54B3A"/>
    <w:rsid w:val="00C56AD6"/>
    <w:rsid w:val="00C73DCF"/>
    <w:rsid w:val="00C764D7"/>
    <w:rsid w:val="00CA6B4F"/>
    <w:rsid w:val="00CB208F"/>
    <w:rsid w:val="00CC0644"/>
    <w:rsid w:val="00CC5068"/>
    <w:rsid w:val="00CD28BF"/>
    <w:rsid w:val="00D30ED6"/>
    <w:rsid w:val="00D522B9"/>
    <w:rsid w:val="00D72CB4"/>
    <w:rsid w:val="00DA37BB"/>
    <w:rsid w:val="00DA4A43"/>
    <w:rsid w:val="00DA4AFF"/>
    <w:rsid w:val="00DA5BEB"/>
    <w:rsid w:val="00DE395C"/>
    <w:rsid w:val="00DF064B"/>
    <w:rsid w:val="00DF6BD2"/>
    <w:rsid w:val="00E105CD"/>
    <w:rsid w:val="00E2411A"/>
    <w:rsid w:val="00E37225"/>
    <w:rsid w:val="00E51439"/>
    <w:rsid w:val="00E52B73"/>
    <w:rsid w:val="00E6251B"/>
    <w:rsid w:val="00E66BF0"/>
    <w:rsid w:val="00EB55BB"/>
    <w:rsid w:val="00ED5C6C"/>
    <w:rsid w:val="00EF36A5"/>
    <w:rsid w:val="00EF506B"/>
    <w:rsid w:val="00EF7399"/>
    <w:rsid w:val="00F03FBE"/>
    <w:rsid w:val="00F067A8"/>
    <w:rsid w:val="00F355FF"/>
    <w:rsid w:val="00F437C9"/>
    <w:rsid w:val="00F45F61"/>
    <w:rsid w:val="00F542C2"/>
    <w:rsid w:val="00FC340A"/>
    <w:rsid w:val="00FC4057"/>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911FC88D-CF13-4BFE-ACA7-A1E260D7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9</Pages>
  <Words>2925</Words>
  <Characters>16092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2020-02-04T17:33:00Z</dcterms:created>
  <dcterms:modified xsi:type="dcterms:W3CDTF">2020-02-04T21:35:00Z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